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5218" w14:textId="2BBD7D72" w:rsidR="00171849" w:rsidRPr="001436E5" w:rsidRDefault="00171849" w:rsidP="00A429E6">
      <w:pPr>
        <w:pStyle w:val="Subtitle"/>
        <w:spacing w:after="0" w:line="240" w:lineRule="auto"/>
        <w:rPr>
          <w:lang w:val="fr-FR"/>
        </w:rPr>
      </w:pPr>
      <w:r w:rsidRPr="008B797C">
        <w:rPr>
          <w:lang w:val="fr"/>
        </w:rPr>
        <w:t>Communiqué de presse</w:t>
      </w:r>
    </w:p>
    <w:p w14:paraId="6C152CD2" w14:textId="473AEB90" w:rsidR="002B3C88" w:rsidRPr="001436E5" w:rsidRDefault="000517D0" w:rsidP="00A429E6">
      <w:pPr>
        <w:pStyle w:val="Title2"/>
        <w:spacing w:after="0" w:line="240" w:lineRule="auto"/>
        <w:rPr>
          <w:lang w:val="fr-FR"/>
        </w:rPr>
      </w:pPr>
      <w:r>
        <w:rPr>
          <w:lang w:val="fr"/>
        </w:rPr>
        <w:t xml:space="preserve">163 kg de déchets résiduels par habitant par an  </w:t>
      </w:r>
    </w:p>
    <w:p w14:paraId="036566C9" w14:textId="77777777" w:rsidR="003B5539" w:rsidRPr="001436E5" w:rsidRDefault="003B5539" w:rsidP="000E119D">
      <w:pPr>
        <w:spacing w:after="0"/>
        <w:rPr>
          <w:lang w:val="fr-FR"/>
        </w:rPr>
      </w:pPr>
    </w:p>
    <w:p w14:paraId="5B7B0908" w14:textId="14833483" w:rsidR="008E2E3D" w:rsidRPr="001436E5" w:rsidRDefault="000517D0" w:rsidP="008E2E3D">
      <w:pPr>
        <w:rPr>
          <w:lang w:val="fr-FR"/>
        </w:rPr>
      </w:pPr>
      <w:r>
        <w:rPr>
          <w:lang w:val="fr"/>
        </w:rPr>
        <w:t xml:space="preserve">La </w:t>
      </w:r>
      <w:r w:rsidR="00194A45">
        <w:rPr>
          <w:lang w:val="fr"/>
        </w:rPr>
        <w:t>6</w:t>
      </w:r>
      <w:r w:rsidR="00194A45" w:rsidRPr="00194A45">
        <w:rPr>
          <w:vertAlign w:val="superscript"/>
          <w:lang w:val="fr"/>
        </w:rPr>
        <w:t>e</w:t>
      </w:r>
      <w:r w:rsidR="00194A45">
        <w:rPr>
          <w:lang w:val="fr"/>
        </w:rPr>
        <w:t xml:space="preserve"> </w:t>
      </w:r>
      <w:r>
        <w:rPr>
          <w:lang w:val="fr"/>
        </w:rPr>
        <w:t xml:space="preserve">analyse nationale </w:t>
      </w:r>
      <w:r w:rsidR="00194A45">
        <w:rPr>
          <w:lang w:val="fr"/>
        </w:rPr>
        <w:t>des</w:t>
      </w:r>
      <w:r>
        <w:rPr>
          <w:lang w:val="fr"/>
        </w:rPr>
        <w:t xml:space="preserve"> déchets résiduels réalisée par l’Administration de l’environnement a révélé les résultats suivants</w:t>
      </w:r>
      <w:r w:rsidR="00E96B17">
        <w:rPr>
          <w:lang w:val="fr"/>
        </w:rPr>
        <w:t xml:space="preserve"> </w:t>
      </w:r>
      <w:r>
        <w:rPr>
          <w:lang w:val="fr"/>
        </w:rPr>
        <w:t xml:space="preserve">: chaque habitant produit en moyenne 163 kg de déchets résiduels par an, soit environ 30 kg de moins qu’en 2018. A cette fin, environ 19,34 tonnes de déchets résiduels provenant de 15 communes ont été analysées.  </w:t>
      </w:r>
    </w:p>
    <w:p w14:paraId="6F33E716" w14:textId="14666A0C" w:rsidR="000517D0" w:rsidRPr="001436E5" w:rsidRDefault="005F1DAA">
      <w:pPr>
        <w:rPr>
          <w:lang w:val="fr-FR"/>
        </w:rPr>
      </w:pPr>
      <w:r>
        <w:rPr>
          <w:lang w:val="fr"/>
        </w:rPr>
        <w:t xml:space="preserve">Cette évolution est certes encourageante, mais nous ne devons pas en rester là. </w:t>
      </w:r>
      <w:r w:rsidR="005E6DE2">
        <w:rPr>
          <w:lang w:val="fr"/>
        </w:rPr>
        <w:t>Parmi les</w:t>
      </w:r>
      <w:r>
        <w:rPr>
          <w:lang w:val="fr"/>
        </w:rPr>
        <w:t xml:space="preserve"> </w:t>
      </w:r>
      <w:r w:rsidR="005E6DE2">
        <w:rPr>
          <w:lang w:val="fr"/>
        </w:rPr>
        <w:t xml:space="preserve">103.600 tonnes </w:t>
      </w:r>
      <w:r>
        <w:rPr>
          <w:lang w:val="fr"/>
        </w:rPr>
        <w:t>de déche</w:t>
      </w:r>
      <w:r w:rsidR="001436E5">
        <w:rPr>
          <w:lang w:val="fr"/>
        </w:rPr>
        <w:t xml:space="preserve">ts </w:t>
      </w:r>
      <w:r w:rsidR="005E6DE2">
        <w:rPr>
          <w:lang w:val="fr"/>
        </w:rPr>
        <w:t xml:space="preserve">générés au total, se trouvent encore environ 50% de ressources à valoriser. </w:t>
      </w:r>
    </w:p>
    <w:p w14:paraId="373AC51E" w14:textId="1E32BFE5" w:rsidR="008E2E3D" w:rsidRPr="001436E5" w:rsidRDefault="008E2E3D" w:rsidP="008E2E3D">
      <w:pPr>
        <w:pStyle w:val="Heading2"/>
      </w:pPr>
      <w:r>
        <w:rPr>
          <w:lang w:val="fr"/>
        </w:rPr>
        <w:t>Objectifs</w:t>
      </w:r>
    </w:p>
    <w:p w14:paraId="4E4D9084" w14:textId="51199FF2" w:rsidR="008E2E3D" w:rsidRPr="001436E5" w:rsidRDefault="005F1DAA" w:rsidP="008E2E3D">
      <w:pPr>
        <w:rPr>
          <w:lang w:val="fr-FR"/>
        </w:rPr>
      </w:pPr>
      <w:r>
        <w:rPr>
          <w:lang w:val="fr"/>
        </w:rPr>
        <w:t xml:space="preserve">Le but de l'analyse des déchets résiduels </w:t>
      </w:r>
      <w:r w:rsidR="005E6DE2">
        <w:rPr>
          <w:lang w:val="fr"/>
        </w:rPr>
        <w:t>e</w:t>
      </w:r>
      <w:r w:rsidR="001D33E3">
        <w:rPr>
          <w:lang w:val="fr"/>
        </w:rPr>
        <w:t>st</w:t>
      </w:r>
      <w:r>
        <w:rPr>
          <w:lang w:val="fr"/>
        </w:rPr>
        <w:t xml:space="preserve"> de déterminer</w:t>
      </w:r>
      <w:r w:rsidR="005E6DE2">
        <w:rPr>
          <w:lang w:val="fr"/>
        </w:rPr>
        <w:t xml:space="preserve"> </w:t>
      </w:r>
      <w:r>
        <w:rPr>
          <w:lang w:val="fr"/>
        </w:rPr>
        <w:t>:</w:t>
      </w:r>
    </w:p>
    <w:p w14:paraId="10AE02CE" w14:textId="77777777" w:rsidR="008E2E3D" w:rsidRPr="001436E5" w:rsidRDefault="008E2E3D" w:rsidP="008E2E3D">
      <w:pPr>
        <w:rPr>
          <w:lang w:val="fr-FR"/>
        </w:rPr>
      </w:pPr>
      <w:r w:rsidRPr="008E2E3D">
        <w:rPr>
          <w:lang w:val="fr"/>
        </w:rPr>
        <w:t xml:space="preserve">(1) quels sont les points qui nécessitent une action (améliorer la communication avec les citoyens, créer des incitations, possibilités de dépôt, etc.)  </w:t>
      </w:r>
    </w:p>
    <w:p w14:paraId="7EAE4D0F" w14:textId="26A1D618" w:rsidR="008E2E3D" w:rsidRPr="001436E5" w:rsidRDefault="008E2E3D" w:rsidP="008E2E3D">
      <w:pPr>
        <w:rPr>
          <w:lang w:val="fr-FR"/>
        </w:rPr>
      </w:pPr>
      <w:r w:rsidRPr="008E2E3D">
        <w:rPr>
          <w:lang w:val="fr"/>
        </w:rPr>
        <w:t xml:space="preserve">(2) quelles fractions peuvent être triées et valorisées de manière encore plus efficace (biogaz, recyclage, etc.)  </w:t>
      </w:r>
    </w:p>
    <w:p w14:paraId="56EF591E" w14:textId="57CE1669" w:rsidR="008E2E3D" w:rsidRPr="001436E5" w:rsidRDefault="008E2E3D" w:rsidP="008E2E3D">
      <w:pPr>
        <w:rPr>
          <w:lang w:val="fr-FR"/>
        </w:rPr>
      </w:pPr>
      <w:r w:rsidRPr="008E2E3D">
        <w:rPr>
          <w:lang w:val="fr"/>
        </w:rPr>
        <w:t>(3) quelles sont les conséquences des différents changements dans la gestion des déchets sur le volume des déchets résiduels</w:t>
      </w:r>
      <w:r w:rsidR="005E6DE2">
        <w:rPr>
          <w:lang w:val="fr"/>
        </w:rPr>
        <w:t xml:space="preserve"> générés</w:t>
      </w:r>
      <w:r w:rsidRPr="008E2E3D">
        <w:rPr>
          <w:lang w:val="fr"/>
        </w:rPr>
        <w:t xml:space="preserve"> (introduction de la poubelle bio, système de taxe, extension du sac bleu, interdiction de certains articles en plastique...) ;</w:t>
      </w:r>
    </w:p>
    <w:p w14:paraId="46C800D5" w14:textId="77777777" w:rsidR="008E2E3D" w:rsidRPr="001436E5" w:rsidRDefault="008E2E3D" w:rsidP="008E2E3D">
      <w:pPr>
        <w:pStyle w:val="Heading2"/>
      </w:pPr>
      <w:r>
        <w:rPr>
          <w:lang w:val="fr"/>
        </w:rPr>
        <w:t>Constat</w:t>
      </w:r>
    </w:p>
    <w:p w14:paraId="01D4B470" w14:textId="41B3EF6C" w:rsidR="008E2E3D" w:rsidRPr="001436E5" w:rsidRDefault="008E2E3D" w:rsidP="008E2E3D">
      <w:pPr>
        <w:rPr>
          <w:bCs/>
          <w:lang w:val="fr-FR"/>
        </w:rPr>
      </w:pPr>
      <w:r>
        <w:rPr>
          <w:b/>
          <w:bCs/>
          <w:lang w:val="fr"/>
        </w:rPr>
        <w:t xml:space="preserve">Les plastiques à usage unique (Single Use Plastics): </w:t>
      </w:r>
      <w:r>
        <w:rPr>
          <w:bCs/>
          <w:lang w:val="fr"/>
        </w:rPr>
        <w:t xml:space="preserve">Depuis l'introduction de la directive sur les plastiques à usage unique en 2021 (EZ2019/904) en Europe, certains </w:t>
      </w:r>
      <w:r w:rsidR="00F45730">
        <w:rPr>
          <w:bCs/>
          <w:lang w:val="fr"/>
        </w:rPr>
        <w:t xml:space="preserve">de ces </w:t>
      </w:r>
      <w:r>
        <w:rPr>
          <w:bCs/>
          <w:lang w:val="fr"/>
        </w:rPr>
        <w:t>produits</w:t>
      </w:r>
      <w:r w:rsidR="00F45730">
        <w:rPr>
          <w:bCs/>
          <w:lang w:val="fr"/>
        </w:rPr>
        <w:t xml:space="preserve"> </w:t>
      </w:r>
      <w:r>
        <w:rPr>
          <w:bCs/>
          <w:lang w:val="fr"/>
        </w:rPr>
        <w:t xml:space="preserve">ne peuvent plus être vendus dans l'UE. Cette interdiction se reflète également dans les déchets résiduels, car ils contiennent déjà beaucoup moins de ces produits en plastique. Cependant, beaucoup de ces produits jetables en plastique sont remplacés par des produits jetables fabriqués dans d'autres matériaux (par exemple en bambou, en papier ou en bois) et </w:t>
      </w:r>
      <w:r w:rsidR="005E6DE2">
        <w:rPr>
          <w:bCs/>
          <w:lang w:val="fr"/>
        </w:rPr>
        <w:t>ceux-ci se</w:t>
      </w:r>
      <w:r>
        <w:rPr>
          <w:bCs/>
          <w:lang w:val="fr"/>
        </w:rPr>
        <w:t xml:space="preserve"> retrouvent donc de plus en plus souvent dans les déchets résiduels.</w:t>
      </w:r>
    </w:p>
    <w:p w14:paraId="581AE3FC" w14:textId="48A936C6" w:rsidR="008E2E3D" w:rsidRPr="001436E5" w:rsidRDefault="008E2E3D" w:rsidP="008E2E3D">
      <w:pPr>
        <w:rPr>
          <w:bCs/>
          <w:lang w:val="fr-FR"/>
        </w:rPr>
      </w:pPr>
      <w:r w:rsidRPr="00242733">
        <w:rPr>
          <w:b/>
          <w:bCs/>
          <w:lang w:val="fr"/>
        </w:rPr>
        <w:lastRenderedPageBreak/>
        <w:t xml:space="preserve">Les emballages en </w:t>
      </w:r>
      <w:r w:rsidR="005E6DE2" w:rsidRPr="00242733">
        <w:rPr>
          <w:b/>
          <w:bCs/>
          <w:lang w:val="fr"/>
        </w:rPr>
        <w:t>général :</w:t>
      </w:r>
      <w:r>
        <w:rPr>
          <w:bCs/>
          <w:lang w:val="fr"/>
        </w:rPr>
        <w:t xml:space="preserve"> L'extension du sac bleu</w:t>
      </w:r>
      <w:r w:rsidR="005E6DE2">
        <w:rPr>
          <w:bCs/>
          <w:lang w:val="fr"/>
        </w:rPr>
        <w:t xml:space="preserve"> (</w:t>
      </w:r>
      <w:proofErr w:type="spellStart"/>
      <w:r w:rsidR="005E6DE2">
        <w:rPr>
          <w:bCs/>
          <w:lang w:val="fr"/>
        </w:rPr>
        <w:t>Valorlux</w:t>
      </w:r>
      <w:proofErr w:type="spellEnd"/>
      <w:r w:rsidR="005E6DE2">
        <w:rPr>
          <w:bCs/>
          <w:lang w:val="fr"/>
        </w:rPr>
        <w:t>)</w:t>
      </w:r>
      <w:r>
        <w:rPr>
          <w:bCs/>
          <w:lang w:val="fr"/>
        </w:rPr>
        <w:t xml:space="preserve"> au niveau national pour les films en plastique, pots de yaourt, etc. a entraîné une diminution des emballages plastiques dans les déchets résiduels. Cela est particulièrement visible dans les communes du SIDEC qui ont introduit </w:t>
      </w:r>
      <w:r w:rsidR="005E6DE2">
        <w:rPr>
          <w:bCs/>
          <w:lang w:val="fr"/>
        </w:rPr>
        <w:t>le</w:t>
      </w:r>
      <w:r>
        <w:rPr>
          <w:bCs/>
          <w:lang w:val="fr"/>
        </w:rPr>
        <w:t xml:space="preserve"> sac bleu élargi dès octobre 2019.  </w:t>
      </w:r>
    </w:p>
    <w:p w14:paraId="36E6F168" w14:textId="165D0873" w:rsidR="00981373" w:rsidRPr="001436E5" w:rsidRDefault="005E6DE2" w:rsidP="008E2E3D">
      <w:pPr>
        <w:rPr>
          <w:bCs/>
          <w:lang w:val="fr-FR"/>
        </w:rPr>
      </w:pPr>
      <w:r>
        <w:rPr>
          <w:bCs/>
          <w:lang w:val="fr"/>
        </w:rPr>
        <w:t>A titre d’exemple, au niveau du</w:t>
      </w:r>
      <w:r w:rsidR="00981373">
        <w:rPr>
          <w:bCs/>
          <w:lang w:val="fr"/>
        </w:rPr>
        <w:t xml:space="preserve"> SIDEC, cette mesure a ainsi permis de réduire les films plastiques de 17</w:t>
      </w:r>
      <w:r w:rsidR="00F45730">
        <w:rPr>
          <w:bCs/>
          <w:lang w:val="fr"/>
        </w:rPr>
        <w:t>,94 kg par habitant à 11,13 kg/</w:t>
      </w:r>
      <w:proofErr w:type="spellStart"/>
      <w:proofErr w:type="gramStart"/>
      <w:r w:rsidR="00F45730">
        <w:rPr>
          <w:bCs/>
          <w:lang w:val="fr"/>
        </w:rPr>
        <w:t>E.a</w:t>
      </w:r>
      <w:proofErr w:type="spellEnd"/>
      <w:proofErr w:type="gramEnd"/>
      <w:r w:rsidR="00981373">
        <w:rPr>
          <w:bCs/>
          <w:lang w:val="fr"/>
        </w:rPr>
        <w:t xml:space="preserve"> et les gobelets de 2,07 kg/</w:t>
      </w:r>
      <w:proofErr w:type="spellStart"/>
      <w:r w:rsidR="00F45730">
        <w:rPr>
          <w:bCs/>
          <w:lang w:val="fr"/>
        </w:rPr>
        <w:t>E.a</w:t>
      </w:r>
      <w:proofErr w:type="spellEnd"/>
      <w:r w:rsidR="00F45730">
        <w:rPr>
          <w:bCs/>
          <w:lang w:val="fr"/>
        </w:rPr>
        <w:t xml:space="preserve"> à 0,92 kg/E.a</w:t>
      </w:r>
      <w:r w:rsidR="00981373">
        <w:rPr>
          <w:bCs/>
          <w:lang w:val="fr"/>
        </w:rPr>
        <w:t>.</w:t>
      </w:r>
    </w:p>
    <w:p w14:paraId="79321B3C" w14:textId="6F767885" w:rsidR="008E2E3D" w:rsidRPr="005E6DE2" w:rsidRDefault="008E2E3D" w:rsidP="005E6DE2">
      <w:pPr>
        <w:rPr>
          <w:bCs/>
          <w:lang w:val="fr-FR"/>
        </w:rPr>
      </w:pPr>
      <w:r w:rsidRPr="008B797C">
        <w:rPr>
          <w:b/>
          <w:bCs/>
          <w:lang w:val="fr"/>
        </w:rPr>
        <w:t xml:space="preserve">Capsules de </w:t>
      </w:r>
      <w:proofErr w:type="gramStart"/>
      <w:r w:rsidRPr="008B797C">
        <w:rPr>
          <w:b/>
          <w:bCs/>
          <w:lang w:val="fr"/>
        </w:rPr>
        <w:t>café:</w:t>
      </w:r>
      <w:proofErr w:type="gramEnd"/>
      <w:r w:rsidRPr="008B797C">
        <w:rPr>
          <w:b/>
          <w:bCs/>
          <w:lang w:val="fr"/>
        </w:rPr>
        <w:t xml:space="preserve"> </w:t>
      </w:r>
      <w:r w:rsidR="005E6DE2">
        <w:rPr>
          <w:bCs/>
          <w:lang w:val="fr-FR"/>
        </w:rPr>
        <w:t xml:space="preserve"> </w:t>
      </w:r>
      <w:r w:rsidRPr="00541DDC">
        <w:rPr>
          <w:bCs/>
          <w:lang w:val="fr"/>
        </w:rPr>
        <w:t xml:space="preserve">L'analyse 2022 a révélé une quantité extrapolée de 887 tonnes de capsules de café, ce qui correspond à environ 55,7 millions de capsules. En 2018 déjà, ce chiffre était d'environ 54,6 millions de capsules </w:t>
      </w:r>
      <w:r w:rsidR="005E6DE2">
        <w:rPr>
          <w:bCs/>
          <w:lang w:val="fr"/>
        </w:rPr>
        <w:t>–</w:t>
      </w:r>
      <w:r w:rsidRPr="00541DDC">
        <w:rPr>
          <w:bCs/>
          <w:lang w:val="fr"/>
        </w:rPr>
        <w:t xml:space="preserve"> </w:t>
      </w:r>
      <w:r w:rsidR="005E6DE2">
        <w:rPr>
          <w:bCs/>
          <w:lang w:val="fr"/>
        </w:rPr>
        <w:t xml:space="preserve">une augmentation donc, </w:t>
      </w:r>
      <w:r w:rsidRPr="00541DDC">
        <w:rPr>
          <w:bCs/>
          <w:lang w:val="fr"/>
        </w:rPr>
        <w:t>et ce malgré la mise en place de systèmes de collecte séparés dans les commerces spécialisés. Une tendance déplorable qui risque de perdurer.</w:t>
      </w:r>
    </w:p>
    <w:p w14:paraId="124BD671" w14:textId="4D217A40" w:rsidR="008E2E3D" w:rsidRPr="001436E5" w:rsidRDefault="008E2E3D" w:rsidP="008E2E3D">
      <w:pPr>
        <w:rPr>
          <w:lang w:val="fr-FR"/>
        </w:rPr>
      </w:pPr>
      <w:proofErr w:type="gramStart"/>
      <w:r w:rsidRPr="008B797C">
        <w:rPr>
          <w:b/>
          <w:bCs/>
          <w:lang w:val="fr"/>
        </w:rPr>
        <w:t>Biodéchets</w:t>
      </w:r>
      <w:r w:rsidRPr="008B797C">
        <w:rPr>
          <w:bCs/>
          <w:lang w:val="fr"/>
        </w:rPr>
        <w:t>:</w:t>
      </w:r>
      <w:proofErr w:type="gramEnd"/>
      <w:r w:rsidRPr="008B797C">
        <w:rPr>
          <w:bCs/>
          <w:lang w:val="fr"/>
        </w:rPr>
        <w:t xml:space="preserve"> La part des biodéchets dans les déchets résiduels a baissé de 61,2 kg à 45,9 kg par personne. Néanmoins, les biodéchets représentent toujours environ 1/3 du poids des déchets résiduels. 19,7% de ces déchets sont des déchets de cuisine non évitables, comme des épluchures, des os, etc. En les éliminant dans la biopoubelle, ceux-ci pourraient encore être valorisés sous forme de biogaz ou de compost. Comme lors des années précédentes, on trouve encore beaucoup de denrées alimentaires dans les déchets résiduels, surtout des produits de boulangerie, mais aussi des aliments encore emballés et non périssables. A ce niveau, une planification plus efficace des courses, une conservation correcte des aliments et une meilleure connaissance de leur durée de conservation permettrait de remédier à cette situation. </w:t>
      </w:r>
    </w:p>
    <w:p w14:paraId="4F48D62D" w14:textId="2C0E254C" w:rsidR="008367F9" w:rsidRPr="001436E5" w:rsidRDefault="003F25A2">
      <w:pPr>
        <w:rPr>
          <w:lang w:val="fr-FR"/>
        </w:rPr>
      </w:pPr>
      <w:r w:rsidRPr="003F25A2">
        <w:rPr>
          <w:b/>
          <w:lang w:val="fr"/>
        </w:rPr>
        <w:t>Sacs en papier :</w:t>
      </w:r>
      <w:r w:rsidR="00025BB6">
        <w:rPr>
          <w:b/>
          <w:lang w:val="fr"/>
        </w:rPr>
        <w:t xml:space="preserve"> </w:t>
      </w:r>
      <w:r>
        <w:rPr>
          <w:lang w:val="fr"/>
        </w:rPr>
        <w:t xml:space="preserve">Chaque année, on retrouve 3,14 millions de sacs en papier dans les déchets résiduels au Luxembourg. Les sacs en papier propres et peu souillés doivent en outre être déposés dans la collecte de papier. </w:t>
      </w:r>
      <w:r w:rsidR="004E6D9A">
        <w:rPr>
          <w:lang w:val="fr"/>
        </w:rPr>
        <w:t>Une meilleure solution</w:t>
      </w:r>
      <w:r w:rsidR="004E6D9A">
        <w:rPr>
          <w:lang w:val="fr"/>
        </w:rPr>
        <w:t xml:space="preserve"> </w:t>
      </w:r>
      <w:r w:rsidR="004E6D9A">
        <w:rPr>
          <w:lang w:val="fr"/>
        </w:rPr>
        <w:t>: utiliser ses propres cabas et renoncer aux sacs en papier lorsque ce n'est pas absolument nécessaire.</w:t>
      </w:r>
    </w:p>
    <w:p w14:paraId="092CC9E8" w14:textId="77777777" w:rsidR="008B47F9" w:rsidRPr="001436E5" w:rsidRDefault="002E33CD" w:rsidP="002E33CD">
      <w:pPr>
        <w:pStyle w:val="Heading2"/>
      </w:pPr>
      <w:r w:rsidRPr="008B797C">
        <w:rPr>
          <w:lang w:val="fr"/>
        </w:rPr>
        <w:t>Que signifie "déchets résiduels" ?</w:t>
      </w:r>
    </w:p>
    <w:p w14:paraId="164A8800" w14:textId="1CCFCDEB" w:rsidR="008B47F9" w:rsidRPr="001436E5" w:rsidRDefault="008B47F9">
      <w:pPr>
        <w:rPr>
          <w:lang w:val="fr-FR"/>
        </w:rPr>
      </w:pPr>
      <w:r w:rsidRPr="008B797C">
        <w:rPr>
          <w:lang w:val="fr"/>
        </w:rPr>
        <w:t xml:space="preserve">Par déchets résiduels, on désigne les déchets mélangés collectés dans le cadre de la collecte publique des déchets via ce que l'on appelle communément au Luxembourg les "poubelles noires". Ceux-ci finissent ensuite à la décharge de Flaxweiler ou sont incinérés au SIDOR. </w:t>
      </w:r>
    </w:p>
    <w:p w14:paraId="44501CC0" w14:textId="77777777" w:rsidR="00885C84" w:rsidRPr="001436E5" w:rsidRDefault="002E33CD" w:rsidP="00885C84">
      <w:pPr>
        <w:pStyle w:val="Heading2"/>
      </w:pPr>
      <w:r w:rsidRPr="008B797C">
        <w:rPr>
          <w:lang w:val="fr"/>
        </w:rPr>
        <w:t>En quoi consiste une analyse de déchets résiduels de ce type ?</w:t>
      </w:r>
    </w:p>
    <w:p w14:paraId="506BC6CB" w14:textId="3D332ED2" w:rsidR="006C7AEE" w:rsidRPr="001436E5" w:rsidRDefault="006C7AEE" w:rsidP="006C7AEE">
      <w:pPr>
        <w:rPr>
          <w:lang w:val="fr-FR"/>
        </w:rPr>
      </w:pPr>
      <w:r>
        <w:rPr>
          <w:lang w:val="fr"/>
        </w:rPr>
        <w:t xml:space="preserve">Les échantillons destinés aux collectes sont donc choisis de manière stratégique et sélectionnés selon des critères géographiques (syndicats), démographiques (caractéristiques de l'habitat, densité de population) </w:t>
      </w:r>
      <w:r>
        <w:rPr>
          <w:lang w:val="fr"/>
        </w:rPr>
        <w:lastRenderedPageBreak/>
        <w:t xml:space="preserve">et de gestion des déchets (volume des conteneurs, système de pesée ou de comptage...). En 2022, 15 communes ont été échantillonnées, dont 3 communes SIDEC, 4 communes SIGRE et 8 communes SIDOR. </w:t>
      </w:r>
    </w:p>
    <w:p w14:paraId="51B639CE" w14:textId="3F025088" w:rsidR="00237780" w:rsidRPr="001436E5" w:rsidRDefault="00025BB6" w:rsidP="00D83AFA">
      <w:pPr>
        <w:rPr>
          <w:lang w:val="fr-FR"/>
        </w:rPr>
      </w:pPr>
      <w:r>
        <w:rPr>
          <w:lang w:val="fr"/>
        </w:rPr>
        <w:t xml:space="preserve">43 </w:t>
      </w:r>
      <w:r w:rsidR="00D55BA9">
        <w:rPr>
          <w:lang w:val="fr"/>
        </w:rPr>
        <w:t>différentes fractions de déchets sont ainsi séparées et analysées manue</w:t>
      </w:r>
      <w:r>
        <w:rPr>
          <w:lang w:val="fr"/>
        </w:rPr>
        <w:t xml:space="preserve">llement : allant du plastique, </w:t>
      </w:r>
      <w:r w:rsidR="00D55BA9">
        <w:rPr>
          <w:lang w:val="fr"/>
        </w:rPr>
        <w:t xml:space="preserve">du papier et des métaux aux textiles, déchets alimentaires ou substances problématiques, comme par exemple les produits cosmétiques ou d'hygiène. </w:t>
      </w:r>
    </w:p>
    <w:p w14:paraId="56D4686E" w14:textId="07C93242" w:rsidR="00885C84" w:rsidRPr="001436E5" w:rsidRDefault="00980B09">
      <w:pPr>
        <w:rPr>
          <w:lang w:val="fr-FR"/>
        </w:rPr>
      </w:pPr>
      <w:r>
        <w:rPr>
          <w:lang w:val="fr"/>
        </w:rPr>
        <w:t xml:space="preserve">Les déchets des différentes communes sont transportés dans des camions poubelles jusqu'à un "lieu de transfert des échantillons", où ils sont placés dans de grands conteneurs vides. Les déchets sont ensuite triés manuellement à Bettembourg afin d'éviter la formation de mauvaises odeurs et de germes. </w:t>
      </w:r>
    </w:p>
    <w:p w14:paraId="2DB72093" w14:textId="77B5275E" w:rsidR="00171849" w:rsidRPr="001436E5" w:rsidRDefault="00171849" w:rsidP="00171849">
      <w:pPr>
        <w:rPr>
          <w:lang w:val="fr-FR"/>
        </w:rPr>
      </w:pPr>
      <w:r w:rsidRPr="008B797C">
        <w:rPr>
          <w:lang w:val="fr"/>
        </w:rPr>
        <w:t xml:space="preserve">Les influences saisonnières sont prises en compte par le biais de deux échantillonnages, l'un en hiver et l'autre en été. La première phase de tri a eu lieu en février-mars, la deuxième en juin. </w:t>
      </w:r>
    </w:p>
    <w:p w14:paraId="0C6C470F" w14:textId="4C99B490" w:rsidR="003E357E" w:rsidRPr="001436E5" w:rsidRDefault="002E33CD" w:rsidP="008E2E3D">
      <w:pPr>
        <w:rPr>
          <w:lang w:val="fr-FR"/>
        </w:rPr>
      </w:pPr>
      <w:r w:rsidRPr="008B797C">
        <w:rPr>
          <w:lang w:val="fr"/>
        </w:rPr>
        <w:t>Les données collectées seront ensuite utilisées pour établir un rapport d'analyse qui sera clôturé à la fin de l'année 2022.</w:t>
      </w:r>
    </w:p>
    <w:p w14:paraId="30EEC053" w14:textId="406FDCB8" w:rsidR="008B47F9" w:rsidRPr="001436E5" w:rsidRDefault="003E357E" w:rsidP="00171849">
      <w:pPr>
        <w:pStyle w:val="Heading2"/>
      </w:pPr>
      <w:r>
        <w:rPr>
          <w:lang w:val="fr"/>
        </w:rPr>
        <w:t>Comparaison des résult</w:t>
      </w:r>
      <w:r w:rsidR="00025BB6">
        <w:rPr>
          <w:lang w:val="fr"/>
        </w:rPr>
        <w:t>ats des précédentes analyses de</w:t>
      </w:r>
      <w:r>
        <w:rPr>
          <w:lang w:val="fr"/>
        </w:rPr>
        <w:t xml:space="preserve"> déchets résiduels </w:t>
      </w:r>
    </w:p>
    <w:p w14:paraId="5254FAA1" w14:textId="364B003F" w:rsidR="00E010E5" w:rsidRPr="001436E5" w:rsidRDefault="00E010E5" w:rsidP="00E010E5">
      <w:pPr>
        <w:rPr>
          <w:lang w:val="fr-FR"/>
        </w:rPr>
      </w:pPr>
      <w:r w:rsidRPr="008B797C">
        <w:rPr>
          <w:lang w:val="fr"/>
        </w:rPr>
        <w:t>Le tableau suivant présente de manière comparative les résultats de</w:t>
      </w:r>
      <w:r w:rsidR="00FD454C">
        <w:rPr>
          <w:lang w:val="fr"/>
        </w:rPr>
        <w:t>s</w:t>
      </w:r>
      <w:r w:rsidRPr="008B797C">
        <w:rPr>
          <w:lang w:val="fr"/>
        </w:rPr>
        <w:t xml:space="preserve"> fractions de déchets sélectionnées lors des analyses de déchets résiduels passées. </w:t>
      </w:r>
    </w:p>
    <w:tbl>
      <w:tblPr>
        <w:tblStyle w:val="LightShading-Accent3"/>
        <w:tblW w:w="5000" w:type="pct"/>
        <w:tblLook w:val="04A0" w:firstRow="1" w:lastRow="0" w:firstColumn="1" w:lastColumn="0" w:noHBand="0" w:noVBand="1"/>
      </w:tblPr>
      <w:tblGrid>
        <w:gridCol w:w="1957"/>
        <w:gridCol w:w="2085"/>
        <w:gridCol w:w="1713"/>
        <w:gridCol w:w="1189"/>
        <w:gridCol w:w="1205"/>
        <w:gridCol w:w="1211"/>
      </w:tblGrid>
      <w:tr w:rsidR="000517D0" w:rsidRPr="008B797C" w14:paraId="76B237C1" w14:textId="53F10A10" w:rsidTr="000517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11FE176" w14:textId="77777777" w:rsidR="000517D0" w:rsidRPr="008B797C" w:rsidRDefault="000517D0" w:rsidP="00237780">
            <w:pPr>
              <w:pStyle w:val="Table-Heading"/>
              <w:spacing w:after="0"/>
              <w:rPr>
                <w:rFonts w:asciiTheme="majorHAnsi" w:hAnsiTheme="majorHAnsi"/>
                <w:b/>
                <w:color w:val="auto"/>
                <w:szCs w:val="22"/>
                <w:lang w:val="de-DE"/>
              </w:rPr>
            </w:pPr>
            <w:r w:rsidRPr="008B797C">
              <w:rPr>
                <w:rFonts w:asciiTheme="majorHAnsi" w:hAnsiTheme="majorHAnsi"/>
                <w:b/>
                <w:color w:val="auto"/>
                <w:szCs w:val="22"/>
                <w:lang w:val="fr"/>
              </w:rPr>
              <w:t>Matériaux</w:t>
            </w:r>
          </w:p>
        </w:tc>
        <w:tc>
          <w:tcPr>
            <w:tcW w:w="895" w:type="pct"/>
          </w:tcPr>
          <w:p w14:paraId="5F191FB7"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Pr>
                <w:rFonts w:asciiTheme="majorHAnsi" w:hAnsiTheme="majorHAnsi"/>
                <w:b/>
                <w:color w:val="auto"/>
                <w:szCs w:val="22"/>
                <w:lang w:val="fr"/>
              </w:rPr>
              <w:t xml:space="preserve">Sous-catégories </w:t>
            </w:r>
          </w:p>
        </w:tc>
        <w:tc>
          <w:tcPr>
            <w:tcW w:w="861" w:type="pct"/>
          </w:tcPr>
          <w:p w14:paraId="582D2955"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fr"/>
              </w:rPr>
              <w:t xml:space="preserve">2010 </w:t>
            </w:r>
          </w:p>
          <w:p w14:paraId="57978263"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fr"/>
              </w:rPr>
              <w:t>[kg/(E*a)]</w:t>
            </w:r>
          </w:p>
        </w:tc>
        <w:tc>
          <w:tcPr>
            <w:tcW w:w="699" w:type="pct"/>
          </w:tcPr>
          <w:p w14:paraId="6A71E801"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fr"/>
              </w:rPr>
              <w:t>2013/2014</w:t>
            </w:r>
          </w:p>
          <w:p w14:paraId="2EDE589D"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fr"/>
              </w:rPr>
              <w:t>[kg/(E*a)]</w:t>
            </w:r>
          </w:p>
        </w:tc>
        <w:tc>
          <w:tcPr>
            <w:tcW w:w="716" w:type="pct"/>
          </w:tcPr>
          <w:p w14:paraId="22FA483E" w14:textId="77777777" w:rsidR="000517D0" w:rsidRPr="00F4111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F4111C">
              <w:rPr>
                <w:rFonts w:asciiTheme="majorHAnsi" w:hAnsiTheme="majorHAnsi"/>
                <w:b/>
                <w:color w:val="auto"/>
                <w:szCs w:val="22"/>
                <w:lang w:val="fr"/>
              </w:rPr>
              <w:t>2018/2019 [kg/(E*a)]</w:t>
            </w:r>
          </w:p>
        </w:tc>
        <w:tc>
          <w:tcPr>
            <w:tcW w:w="715" w:type="pct"/>
          </w:tcPr>
          <w:p w14:paraId="611BFD60" w14:textId="68F6836F" w:rsidR="000517D0" w:rsidRPr="00F4111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F4111C">
              <w:rPr>
                <w:rFonts w:asciiTheme="majorHAnsi" w:hAnsiTheme="majorHAnsi"/>
                <w:b/>
                <w:color w:val="auto"/>
                <w:szCs w:val="22"/>
                <w:lang w:val="fr"/>
              </w:rPr>
              <w:t>2021/2022 [kg/(E*a)]</w:t>
            </w:r>
          </w:p>
        </w:tc>
      </w:tr>
      <w:tr w:rsidR="000517D0" w:rsidRPr="00113DC0" w14:paraId="1D10B2A4" w14:textId="09D4257E"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C6BF801" w14:textId="4B1FC1A5" w:rsidR="000517D0" w:rsidRPr="00113DC0" w:rsidRDefault="000517D0" w:rsidP="00237780">
            <w:pPr>
              <w:spacing w:after="0"/>
              <w:rPr>
                <w:rFonts w:asciiTheme="majorHAnsi" w:hAnsiTheme="majorHAnsi"/>
                <w:color w:val="auto"/>
                <w:szCs w:val="22"/>
                <w:lang w:val="de-DE"/>
              </w:rPr>
            </w:pPr>
            <w:r w:rsidRPr="00113DC0">
              <w:rPr>
                <w:rFonts w:asciiTheme="majorHAnsi" w:hAnsiTheme="majorHAnsi"/>
                <w:color w:val="auto"/>
                <w:szCs w:val="22"/>
                <w:lang w:val="fr"/>
              </w:rPr>
              <w:t>Total</w:t>
            </w:r>
          </w:p>
        </w:tc>
        <w:tc>
          <w:tcPr>
            <w:tcW w:w="895" w:type="pct"/>
          </w:tcPr>
          <w:p w14:paraId="6516216B" w14:textId="77777777"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p>
        </w:tc>
        <w:tc>
          <w:tcPr>
            <w:tcW w:w="861" w:type="pct"/>
          </w:tcPr>
          <w:p w14:paraId="12ACD242" w14:textId="0DBD546B"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fr"/>
              </w:rPr>
              <w:t>245.6</w:t>
            </w:r>
          </w:p>
        </w:tc>
        <w:tc>
          <w:tcPr>
            <w:tcW w:w="699" w:type="pct"/>
          </w:tcPr>
          <w:p w14:paraId="0B0ADD8F" w14:textId="5536C5BE"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fr"/>
              </w:rPr>
              <w:t>223.2</w:t>
            </w:r>
          </w:p>
        </w:tc>
        <w:tc>
          <w:tcPr>
            <w:tcW w:w="716" w:type="pct"/>
          </w:tcPr>
          <w:p w14:paraId="3AE2778A" w14:textId="27363C57" w:rsidR="000517D0" w:rsidRPr="00806BFB" w:rsidRDefault="000517D0" w:rsidP="00C57A9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fr"/>
              </w:rPr>
              <w:t>193.67</w:t>
            </w:r>
          </w:p>
        </w:tc>
        <w:tc>
          <w:tcPr>
            <w:tcW w:w="715" w:type="pct"/>
          </w:tcPr>
          <w:p w14:paraId="2AAF0F8B" w14:textId="36FACF0E"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Pr>
                <w:rFonts w:asciiTheme="majorHAnsi" w:hAnsiTheme="majorHAnsi"/>
                <w:b/>
                <w:color w:val="auto"/>
                <w:szCs w:val="22"/>
                <w:lang w:val="fr"/>
              </w:rPr>
              <w:t>163.2</w:t>
            </w:r>
          </w:p>
        </w:tc>
      </w:tr>
      <w:tr w:rsidR="000517D0" w:rsidRPr="008B797C" w14:paraId="5CC94591" w14:textId="18F406E3"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E11E106"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Matières plastiques</w:t>
            </w:r>
          </w:p>
        </w:tc>
        <w:tc>
          <w:tcPr>
            <w:tcW w:w="895" w:type="pct"/>
          </w:tcPr>
          <w:p w14:paraId="7EF26B08"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063D2132"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37.64</w:t>
            </w:r>
          </w:p>
        </w:tc>
        <w:tc>
          <w:tcPr>
            <w:tcW w:w="699" w:type="pct"/>
          </w:tcPr>
          <w:p w14:paraId="722F23C6" w14:textId="66B5AD32" w:rsidR="000517D0" w:rsidRPr="003635F3" w:rsidRDefault="000517D0" w:rsidP="00C57A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39.73</w:t>
            </w:r>
          </w:p>
        </w:tc>
        <w:tc>
          <w:tcPr>
            <w:tcW w:w="716" w:type="pct"/>
          </w:tcPr>
          <w:p w14:paraId="157C4E01"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32.39</w:t>
            </w:r>
          </w:p>
        </w:tc>
        <w:tc>
          <w:tcPr>
            <w:tcW w:w="715" w:type="pct"/>
          </w:tcPr>
          <w:p w14:paraId="64B8FF90" w14:textId="62C23DF7" w:rsidR="000517D0" w:rsidRPr="003635F3" w:rsidRDefault="00587205" w:rsidP="00C57A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26.41</w:t>
            </w:r>
          </w:p>
        </w:tc>
      </w:tr>
      <w:tr w:rsidR="000517D0" w:rsidRPr="008B797C" w14:paraId="6E7656BD" w14:textId="283133FF"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307EB746"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0849CBFA"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Bouteilles</w:t>
            </w:r>
          </w:p>
        </w:tc>
        <w:tc>
          <w:tcPr>
            <w:tcW w:w="861" w:type="pct"/>
          </w:tcPr>
          <w:p w14:paraId="6367D73B"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19.05</w:t>
            </w:r>
          </w:p>
        </w:tc>
        <w:tc>
          <w:tcPr>
            <w:tcW w:w="699" w:type="pct"/>
          </w:tcPr>
          <w:p w14:paraId="21B8EDEB" w14:textId="0CCED5D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3.65</w:t>
            </w:r>
          </w:p>
        </w:tc>
        <w:tc>
          <w:tcPr>
            <w:tcW w:w="716" w:type="pct"/>
          </w:tcPr>
          <w:p w14:paraId="4E8C1109" w14:textId="50D00EA9" w:rsidR="000517D0" w:rsidRPr="003635F3" w:rsidRDefault="000517D0" w:rsidP="00C57A9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2.62</w:t>
            </w:r>
          </w:p>
        </w:tc>
        <w:tc>
          <w:tcPr>
            <w:tcW w:w="715" w:type="pct"/>
          </w:tcPr>
          <w:p w14:paraId="02A47AB5" w14:textId="7FF0EA79" w:rsidR="000517D0" w:rsidRPr="003635F3" w:rsidRDefault="00587205"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2.19</w:t>
            </w:r>
          </w:p>
        </w:tc>
      </w:tr>
      <w:tr w:rsidR="000517D0" w:rsidRPr="008B797C" w14:paraId="1D0D8739" w14:textId="7B0426A6"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CEA9402"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5E3CFA99"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Gobelets/emballages blister</w:t>
            </w:r>
          </w:p>
        </w:tc>
        <w:tc>
          <w:tcPr>
            <w:tcW w:w="861" w:type="pct"/>
          </w:tcPr>
          <w:p w14:paraId="52E14A53" w14:textId="58CF52BE" w:rsidR="000517D0" w:rsidRPr="008B797C" w:rsidRDefault="000517D0" w:rsidP="00C57A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7.97</w:t>
            </w:r>
          </w:p>
        </w:tc>
        <w:tc>
          <w:tcPr>
            <w:tcW w:w="699" w:type="pct"/>
          </w:tcPr>
          <w:p w14:paraId="27ED23D3" w14:textId="24A62BB3" w:rsidR="000517D0" w:rsidRPr="003635F3" w:rsidRDefault="000517D0" w:rsidP="00C57A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8.78</w:t>
            </w:r>
          </w:p>
        </w:tc>
        <w:tc>
          <w:tcPr>
            <w:tcW w:w="716" w:type="pct"/>
          </w:tcPr>
          <w:p w14:paraId="4F842F0B"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7.34</w:t>
            </w:r>
          </w:p>
        </w:tc>
        <w:tc>
          <w:tcPr>
            <w:tcW w:w="715" w:type="pct"/>
          </w:tcPr>
          <w:p w14:paraId="694BB7A6" w14:textId="15E7425A" w:rsidR="000517D0" w:rsidRPr="003635F3" w:rsidRDefault="00587205" w:rsidP="00C57A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4.23</w:t>
            </w:r>
          </w:p>
        </w:tc>
      </w:tr>
      <w:tr w:rsidR="000517D0" w:rsidRPr="008B797C" w14:paraId="2ADF8FE2" w14:textId="18D14A20"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B096176"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21ECB7D9"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 xml:space="preserve">Films </w:t>
            </w:r>
          </w:p>
        </w:tc>
        <w:tc>
          <w:tcPr>
            <w:tcW w:w="861" w:type="pct"/>
          </w:tcPr>
          <w:p w14:paraId="20DAE33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19.05</w:t>
            </w:r>
          </w:p>
        </w:tc>
        <w:tc>
          <w:tcPr>
            <w:tcW w:w="699" w:type="pct"/>
          </w:tcPr>
          <w:p w14:paraId="084B8AA1"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21.26</w:t>
            </w:r>
          </w:p>
        </w:tc>
        <w:tc>
          <w:tcPr>
            <w:tcW w:w="716" w:type="pct"/>
          </w:tcPr>
          <w:p w14:paraId="5511E734"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16.28</w:t>
            </w:r>
          </w:p>
        </w:tc>
        <w:tc>
          <w:tcPr>
            <w:tcW w:w="715" w:type="pct"/>
          </w:tcPr>
          <w:p w14:paraId="301579E7" w14:textId="7C130F2C" w:rsidR="000517D0" w:rsidRPr="003635F3" w:rsidRDefault="00587205"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14.60</w:t>
            </w:r>
          </w:p>
        </w:tc>
      </w:tr>
      <w:tr w:rsidR="000517D0" w:rsidRPr="008B797C" w14:paraId="424106AB" w14:textId="42F2694F"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5D9F8A58"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Vêtements/textiles</w:t>
            </w:r>
          </w:p>
        </w:tc>
        <w:tc>
          <w:tcPr>
            <w:tcW w:w="895" w:type="pct"/>
          </w:tcPr>
          <w:p w14:paraId="4C8B497B"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7DCE921A"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6.7</w:t>
            </w:r>
          </w:p>
        </w:tc>
        <w:tc>
          <w:tcPr>
            <w:tcW w:w="699" w:type="pct"/>
          </w:tcPr>
          <w:p w14:paraId="78C7DEEF"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6.56</w:t>
            </w:r>
          </w:p>
        </w:tc>
        <w:tc>
          <w:tcPr>
            <w:tcW w:w="716" w:type="pct"/>
          </w:tcPr>
          <w:p w14:paraId="26C081D1"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5.95</w:t>
            </w:r>
          </w:p>
        </w:tc>
        <w:tc>
          <w:tcPr>
            <w:tcW w:w="715" w:type="pct"/>
          </w:tcPr>
          <w:p w14:paraId="68BEE618" w14:textId="643C5A4B" w:rsidR="000517D0" w:rsidRPr="003635F3"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5.44</w:t>
            </w:r>
          </w:p>
        </w:tc>
      </w:tr>
      <w:tr w:rsidR="000517D0" w:rsidRPr="008B797C" w14:paraId="5989F888" w14:textId="7E8E2438"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53A99C7F" w14:textId="76554481" w:rsidR="000517D0" w:rsidRPr="001436E5" w:rsidRDefault="000517D0" w:rsidP="00237780">
            <w:pPr>
              <w:spacing w:after="0"/>
              <w:rPr>
                <w:rFonts w:asciiTheme="majorHAnsi" w:hAnsiTheme="majorHAnsi"/>
                <w:b w:val="0"/>
                <w:color w:val="auto"/>
                <w:szCs w:val="22"/>
                <w:lang w:val="fr-FR"/>
              </w:rPr>
            </w:pPr>
            <w:r w:rsidRPr="008B797C">
              <w:rPr>
                <w:rFonts w:asciiTheme="majorHAnsi" w:hAnsiTheme="majorHAnsi"/>
                <w:color w:val="auto"/>
                <w:szCs w:val="22"/>
                <w:lang w:val="fr"/>
              </w:rPr>
              <w:t xml:space="preserve">Matériaux composites (cartons à </w:t>
            </w:r>
            <w:r w:rsidRPr="008B797C">
              <w:rPr>
                <w:rFonts w:asciiTheme="majorHAnsi" w:hAnsiTheme="majorHAnsi"/>
                <w:color w:val="auto"/>
                <w:szCs w:val="22"/>
                <w:lang w:val="fr"/>
              </w:rPr>
              <w:lastRenderedPageBreak/>
              <w:t>boisson</w:t>
            </w:r>
            <w:r w:rsidR="00FD454C">
              <w:rPr>
                <w:rFonts w:asciiTheme="majorHAnsi" w:hAnsiTheme="majorHAnsi"/>
                <w:color w:val="auto"/>
                <w:szCs w:val="22"/>
                <w:lang w:val="fr"/>
              </w:rPr>
              <w:t>s</w:t>
            </w:r>
            <w:r w:rsidRPr="008B797C">
              <w:rPr>
                <w:rFonts w:asciiTheme="majorHAnsi" w:hAnsiTheme="majorHAnsi"/>
                <w:color w:val="auto"/>
                <w:szCs w:val="22"/>
                <w:lang w:val="fr"/>
              </w:rPr>
              <w:t>, chaussures, déchets électroniques,..)</w:t>
            </w:r>
          </w:p>
        </w:tc>
        <w:tc>
          <w:tcPr>
            <w:tcW w:w="895" w:type="pct"/>
          </w:tcPr>
          <w:p w14:paraId="2CE58DD4" w14:textId="77777777" w:rsidR="000517D0" w:rsidRPr="001436E5"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fr-FR"/>
              </w:rPr>
            </w:pPr>
          </w:p>
        </w:tc>
        <w:tc>
          <w:tcPr>
            <w:tcW w:w="861" w:type="pct"/>
          </w:tcPr>
          <w:p w14:paraId="02DBC463"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7.69</w:t>
            </w:r>
          </w:p>
        </w:tc>
        <w:tc>
          <w:tcPr>
            <w:tcW w:w="699" w:type="pct"/>
          </w:tcPr>
          <w:p w14:paraId="4409B127" w14:textId="63E945BE" w:rsidR="000517D0" w:rsidRPr="003635F3" w:rsidRDefault="000517D0" w:rsidP="00C57A9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13.08</w:t>
            </w:r>
          </w:p>
        </w:tc>
        <w:tc>
          <w:tcPr>
            <w:tcW w:w="716" w:type="pct"/>
          </w:tcPr>
          <w:p w14:paraId="42DDFEEF"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10.11</w:t>
            </w:r>
          </w:p>
        </w:tc>
        <w:tc>
          <w:tcPr>
            <w:tcW w:w="715" w:type="pct"/>
          </w:tcPr>
          <w:p w14:paraId="2E108210" w14:textId="0CCBCBC5"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10.55</w:t>
            </w:r>
          </w:p>
        </w:tc>
      </w:tr>
      <w:tr w:rsidR="000517D0" w:rsidRPr="008B797C" w14:paraId="1BF34E6E" w14:textId="4A5A7442"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1D104DDA"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Produits d’hygiène</w:t>
            </w:r>
          </w:p>
        </w:tc>
        <w:tc>
          <w:tcPr>
            <w:tcW w:w="895" w:type="pct"/>
          </w:tcPr>
          <w:p w14:paraId="158772DF"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4BFE853B"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14.84</w:t>
            </w:r>
          </w:p>
        </w:tc>
        <w:tc>
          <w:tcPr>
            <w:tcW w:w="699" w:type="pct"/>
          </w:tcPr>
          <w:p w14:paraId="7E4A0B8F" w14:textId="77777777" w:rsidR="000517D0" w:rsidRPr="00B6073A"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fr"/>
              </w:rPr>
              <w:t>16.7</w:t>
            </w:r>
          </w:p>
        </w:tc>
        <w:tc>
          <w:tcPr>
            <w:tcW w:w="716" w:type="pct"/>
          </w:tcPr>
          <w:p w14:paraId="79AA7910" w14:textId="77777777" w:rsidR="000517D0" w:rsidRPr="00B6073A"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fr"/>
              </w:rPr>
              <w:t>18.59</w:t>
            </w:r>
          </w:p>
        </w:tc>
        <w:tc>
          <w:tcPr>
            <w:tcW w:w="715" w:type="pct"/>
          </w:tcPr>
          <w:p w14:paraId="0B2AD6A8" w14:textId="018B11DC" w:rsidR="000517D0" w:rsidRPr="00B6073A"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fr"/>
              </w:rPr>
              <w:t>15.37</w:t>
            </w:r>
          </w:p>
        </w:tc>
      </w:tr>
      <w:tr w:rsidR="000517D0" w:rsidRPr="008B797C" w14:paraId="1CC825CF" w14:textId="057993DF"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60148FED"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Papier/carton</w:t>
            </w:r>
          </w:p>
        </w:tc>
        <w:tc>
          <w:tcPr>
            <w:tcW w:w="895" w:type="pct"/>
          </w:tcPr>
          <w:p w14:paraId="0FE25942"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861" w:type="pct"/>
          </w:tcPr>
          <w:p w14:paraId="47DF332D"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43.7</w:t>
            </w:r>
          </w:p>
        </w:tc>
        <w:tc>
          <w:tcPr>
            <w:tcW w:w="699" w:type="pct"/>
          </w:tcPr>
          <w:p w14:paraId="58BB16CB"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43.21</w:t>
            </w:r>
          </w:p>
        </w:tc>
        <w:tc>
          <w:tcPr>
            <w:tcW w:w="716" w:type="pct"/>
          </w:tcPr>
          <w:p w14:paraId="1C665499"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4.70</w:t>
            </w:r>
          </w:p>
        </w:tc>
        <w:tc>
          <w:tcPr>
            <w:tcW w:w="715" w:type="pct"/>
          </w:tcPr>
          <w:p w14:paraId="242A8544" w14:textId="1FA6BFFE" w:rsidR="000517D0" w:rsidRPr="003635F3" w:rsidRDefault="00C87E0F" w:rsidP="00C87E0F">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28.95</w:t>
            </w:r>
          </w:p>
        </w:tc>
      </w:tr>
      <w:tr w:rsidR="000517D0" w:rsidRPr="008B797C" w14:paraId="5D85FA03" w14:textId="0E473E79"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55F40D4"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Biodéchets</w:t>
            </w:r>
          </w:p>
        </w:tc>
        <w:tc>
          <w:tcPr>
            <w:tcW w:w="895" w:type="pct"/>
          </w:tcPr>
          <w:p w14:paraId="7246DB8E"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7A4C02C8"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95.81</w:t>
            </w:r>
          </w:p>
        </w:tc>
        <w:tc>
          <w:tcPr>
            <w:tcW w:w="699" w:type="pct"/>
          </w:tcPr>
          <w:p w14:paraId="5113A4B2"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67.9</w:t>
            </w:r>
          </w:p>
        </w:tc>
        <w:tc>
          <w:tcPr>
            <w:tcW w:w="716" w:type="pct"/>
          </w:tcPr>
          <w:p w14:paraId="79A22C2F"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61.17</w:t>
            </w:r>
          </w:p>
        </w:tc>
        <w:tc>
          <w:tcPr>
            <w:tcW w:w="715" w:type="pct"/>
          </w:tcPr>
          <w:p w14:paraId="5E346758" w14:textId="4CBA7136" w:rsidR="000517D0" w:rsidRPr="003635F3" w:rsidRDefault="00477244"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45.91</w:t>
            </w:r>
          </w:p>
        </w:tc>
      </w:tr>
      <w:tr w:rsidR="000517D0" w:rsidRPr="008B797C" w14:paraId="02424EE4" w14:textId="1B6D8E70"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77D53781"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49BF37B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Déchets de cuisine</w:t>
            </w:r>
          </w:p>
        </w:tc>
        <w:tc>
          <w:tcPr>
            <w:tcW w:w="861" w:type="pct"/>
          </w:tcPr>
          <w:p w14:paraId="0D774880"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85.08</w:t>
            </w:r>
          </w:p>
        </w:tc>
        <w:tc>
          <w:tcPr>
            <w:tcW w:w="699" w:type="pct"/>
          </w:tcPr>
          <w:p w14:paraId="342515D1"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61.29</w:t>
            </w:r>
          </w:p>
        </w:tc>
        <w:tc>
          <w:tcPr>
            <w:tcW w:w="716" w:type="pct"/>
          </w:tcPr>
          <w:p w14:paraId="0DC2B910"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54.74</w:t>
            </w:r>
          </w:p>
        </w:tc>
        <w:tc>
          <w:tcPr>
            <w:tcW w:w="715" w:type="pct"/>
          </w:tcPr>
          <w:p w14:paraId="54FE0EA4" w14:textId="2C54578F"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42.04</w:t>
            </w:r>
          </w:p>
        </w:tc>
      </w:tr>
      <w:tr w:rsidR="000517D0" w:rsidRPr="008B797C" w14:paraId="49E91D24" w14:textId="31848D02"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4D93D85"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5D19F61A" w14:textId="77777777" w:rsidR="000517D0" w:rsidRPr="001436E5"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fr-FR"/>
              </w:rPr>
            </w:pPr>
            <w:r w:rsidRPr="008B797C">
              <w:rPr>
                <w:rFonts w:asciiTheme="majorHAnsi" w:hAnsiTheme="majorHAnsi"/>
                <w:color w:val="auto"/>
                <w:szCs w:val="22"/>
                <w:lang w:val="fr"/>
              </w:rPr>
              <w:t>Déchets de jardin et de verdure</w:t>
            </w:r>
          </w:p>
        </w:tc>
        <w:tc>
          <w:tcPr>
            <w:tcW w:w="861" w:type="pct"/>
          </w:tcPr>
          <w:p w14:paraId="3CAF325D"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fr"/>
              </w:rPr>
              <w:t>9.09</w:t>
            </w:r>
          </w:p>
        </w:tc>
        <w:tc>
          <w:tcPr>
            <w:tcW w:w="699" w:type="pct"/>
          </w:tcPr>
          <w:p w14:paraId="282BDB33"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5.16</w:t>
            </w:r>
          </w:p>
        </w:tc>
        <w:tc>
          <w:tcPr>
            <w:tcW w:w="716" w:type="pct"/>
          </w:tcPr>
          <w:p w14:paraId="3584FCF5"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4.98</w:t>
            </w:r>
          </w:p>
        </w:tc>
        <w:tc>
          <w:tcPr>
            <w:tcW w:w="715" w:type="pct"/>
          </w:tcPr>
          <w:p w14:paraId="452260FD" w14:textId="30F1D850" w:rsidR="000517D0" w:rsidRPr="003635F3"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1.95</w:t>
            </w:r>
          </w:p>
        </w:tc>
      </w:tr>
      <w:tr w:rsidR="000517D0" w:rsidRPr="008B797C" w14:paraId="34C8DC0C" w14:textId="52EFACE4"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0F0FDBA0"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fr"/>
              </w:rPr>
              <w:t>Substances problématiques</w:t>
            </w:r>
          </w:p>
        </w:tc>
        <w:tc>
          <w:tcPr>
            <w:tcW w:w="895" w:type="pct"/>
          </w:tcPr>
          <w:p w14:paraId="6E69520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861" w:type="pct"/>
          </w:tcPr>
          <w:p w14:paraId="23C32085" w14:textId="07257C11" w:rsidR="000517D0" w:rsidRPr="001436E5"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fr-FR"/>
              </w:rPr>
            </w:pPr>
            <w:r w:rsidRPr="008B797C">
              <w:rPr>
                <w:rFonts w:asciiTheme="majorHAnsi" w:hAnsiTheme="majorHAnsi"/>
                <w:color w:val="auto"/>
                <w:szCs w:val="22"/>
                <w:lang w:val="fr"/>
              </w:rPr>
              <w:t>2.62</w:t>
            </w:r>
          </w:p>
          <w:p w14:paraId="0FC3549A" w14:textId="77777777" w:rsidR="000517D0" w:rsidRPr="001436E5" w:rsidRDefault="000517D0" w:rsidP="000E119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fr-FR"/>
              </w:rPr>
            </w:pPr>
            <w:r w:rsidRPr="008B797C">
              <w:rPr>
                <w:rFonts w:asciiTheme="majorHAnsi" w:hAnsiTheme="majorHAnsi"/>
                <w:color w:val="auto"/>
                <w:szCs w:val="22"/>
                <w:lang w:val="fr"/>
              </w:rPr>
              <w:t>Médicaments (35%), produits cosmétiques, peintures/laques</w:t>
            </w:r>
          </w:p>
        </w:tc>
        <w:tc>
          <w:tcPr>
            <w:tcW w:w="699" w:type="pct"/>
          </w:tcPr>
          <w:p w14:paraId="539159F5"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2.01</w:t>
            </w:r>
          </w:p>
        </w:tc>
        <w:tc>
          <w:tcPr>
            <w:tcW w:w="716" w:type="pct"/>
          </w:tcPr>
          <w:p w14:paraId="0A34E6D2"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fr"/>
              </w:rPr>
              <w:t>1.93</w:t>
            </w:r>
          </w:p>
          <w:p w14:paraId="2A87BF76"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715" w:type="pct"/>
          </w:tcPr>
          <w:p w14:paraId="4FC87EA5" w14:textId="4425B383"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fr"/>
              </w:rPr>
              <w:t>0.92</w:t>
            </w:r>
          </w:p>
        </w:tc>
      </w:tr>
    </w:tbl>
    <w:p w14:paraId="081A9304" w14:textId="18A1F926" w:rsidR="00541DDC" w:rsidRDefault="00541DDC">
      <w:pPr>
        <w:spacing w:after="0" w:line="240" w:lineRule="auto"/>
        <w:rPr>
          <w:rFonts w:ascii="Calibri" w:eastAsia="Calibri" w:hAnsi="Calibri"/>
          <w:b/>
          <w:caps/>
          <w:color w:val="E40520"/>
          <w:sz w:val="32"/>
          <w:szCs w:val="28"/>
          <w:lang w:val="de-DE"/>
        </w:rPr>
      </w:pPr>
    </w:p>
    <w:p w14:paraId="7E86BD24" w14:textId="4EBCB879" w:rsidR="00696E70" w:rsidRPr="008B797C" w:rsidRDefault="00AC22D4" w:rsidP="00696E70">
      <w:pPr>
        <w:pStyle w:val="Heading2"/>
        <w:rPr>
          <w:lang w:val="de-DE"/>
        </w:rPr>
      </w:pPr>
      <w:r w:rsidRPr="008B797C">
        <w:rPr>
          <w:lang w:val="fr"/>
        </w:rPr>
        <w:t>Étude 2021/2022</w:t>
      </w:r>
    </w:p>
    <w:p w14:paraId="1213133B" w14:textId="58E93610" w:rsidR="008B797C" w:rsidRPr="001436E5" w:rsidRDefault="00AC22D4">
      <w:pPr>
        <w:rPr>
          <w:b/>
          <w:bCs/>
          <w:lang w:val="fr-FR"/>
        </w:rPr>
      </w:pPr>
      <w:r w:rsidRPr="00F4111C">
        <w:rPr>
          <w:b/>
          <w:bCs/>
          <w:lang w:val="fr"/>
        </w:rPr>
        <w:t xml:space="preserve">Analyse sur les déchets résiduels (Réalisation ECO-Conseil S.à r.l.) </w:t>
      </w:r>
    </w:p>
    <w:p w14:paraId="00D5695F" w14:textId="7BC7D0D6" w:rsidR="006C7AEE" w:rsidRPr="001436E5" w:rsidRDefault="006C7AEE" w:rsidP="00F4111C">
      <w:pPr>
        <w:rPr>
          <w:rStyle w:val="Hyperlink"/>
          <w:lang w:val="fr-FR"/>
        </w:rPr>
      </w:pPr>
      <w:r w:rsidRPr="00F4111C">
        <w:rPr>
          <w:b/>
          <w:lang w:val="fr"/>
        </w:rPr>
        <w:t>Déchets ménagers et assimilés - Données</w:t>
      </w:r>
      <w:r>
        <w:rPr>
          <w:lang w:val="fr"/>
        </w:rPr>
        <w:t xml:space="preserve">: </w:t>
      </w:r>
      <w:bookmarkStart w:id="0" w:name="_GoBack"/>
      <w:bookmarkEnd w:id="0"/>
    </w:p>
    <w:sectPr w:rsidR="006C7AEE" w:rsidRPr="001436E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D8A4" w14:textId="77777777" w:rsidR="001B0215" w:rsidRDefault="001B0215" w:rsidP="00171849">
      <w:pPr>
        <w:spacing w:after="0" w:line="240" w:lineRule="auto"/>
      </w:pPr>
      <w:r>
        <w:separator/>
      </w:r>
    </w:p>
  </w:endnote>
  <w:endnote w:type="continuationSeparator" w:id="0">
    <w:p w14:paraId="6D3ED269" w14:textId="77777777" w:rsidR="001B0215" w:rsidRDefault="001B0215" w:rsidP="0017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ofia Pro Soft Light">
    <w:altName w:val="Sofia Pro Soft Light"/>
    <w:panose1 w:val="020B0000000000000000"/>
    <w:charset w:val="00"/>
    <w:family w:val="swiss"/>
    <w:notTrueType/>
    <w:pitch w:val="variable"/>
    <w:sig w:usb0="A000002F" w:usb1="5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D01A" w14:textId="77777777" w:rsidR="001B0215" w:rsidRDefault="001B0215" w:rsidP="00171849">
      <w:pPr>
        <w:spacing w:after="0" w:line="240" w:lineRule="auto"/>
      </w:pPr>
      <w:r>
        <w:separator/>
      </w:r>
    </w:p>
  </w:footnote>
  <w:footnote w:type="continuationSeparator" w:id="0">
    <w:p w14:paraId="7EDFD6BB" w14:textId="77777777" w:rsidR="001B0215" w:rsidRDefault="001B0215" w:rsidP="0017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C8F4" w14:textId="77777777" w:rsidR="00171849" w:rsidRDefault="00171849" w:rsidP="00A429E6">
    <w:pPr>
      <w:pStyle w:val="Header"/>
      <w:jc w:val="right"/>
    </w:pPr>
    <w:r>
      <w:rPr>
        <w:noProof/>
        <w:lang w:val="en-US"/>
      </w:rPr>
      <w:drawing>
        <wp:inline distT="0" distB="0" distL="0" distR="0" wp14:anchorId="2507A8D6" wp14:editId="31E4D3E3">
          <wp:extent cx="263167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ECDD_Administration_de_l’environnement_Rou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678" cy="900000"/>
                  </a:xfrm>
                  <a:prstGeom prst="rect">
                    <a:avLst/>
                  </a:prstGeom>
                </pic:spPr>
              </pic:pic>
            </a:graphicData>
          </a:graphic>
        </wp:inline>
      </w:drawing>
    </w:r>
  </w:p>
  <w:p w14:paraId="132F3938" w14:textId="77777777" w:rsidR="00171849" w:rsidRDefault="0017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CDE"/>
    <w:multiLevelType w:val="hybridMultilevel"/>
    <w:tmpl w:val="23FE1160"/>
    <w:lvl w:ilvl="0" w:tplc="DA2C6874">
      <w:start w:val="1"/>
      <w:numFmt w:val="bullet"/>
      <w:lvlText w:val=""/>
      <w:lvlJc w:val="left"/>
      <w:pPr>
        <w:ind w:left="720" w:hanging="360"/>
      </w:pPr>
      <w:rPr>
        <w:rFonts w:ascii="Symbol" w:hAnsi="Symbol" w:hint="default"/>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3EE21EEE"/>
    <w:multiLevelType w:val="hybridMultilevel"/>
    <w:tmpl w:val="531CF28A"/>
    <w:lvl w:ilvl="0" w:tplc="6FDA9F72">
      <w:numFmt w:val="bullet"/>
      <w:lvlText w:val="-"/>
      <w:lvlJc w:val="left"/>
      <w:pPr>
        <w:ind w:left="190" w:hanging="360"/>
      </w:pPr>
      <w:rPr>
        <w:rFonts w:ascii="Calibri" w:eastAsiaTheme="minorHAnsi" w:hAnsi="Calibri" w:cs="Calibri" w:hint="default"/>
      </w:rPr>
    </w:lvl>
    <w:lvl w:ilvl="1" w:tplc="04070003">
      <w:start w:val="1"/>
      <w:numFmt w:val="bullet"/>
      <w:lvlText w:val="o"/>
      <w:lvlJc w:val="left"/>
      <w:pPr>
        <w:ind w:left="910" w:hanging="360"/>
      </w:pPr>
      <w:rPr>
        <w:rFonts w:ascii="Courier New" w:hAnsi="Courier New" w:cs="Courier New" w:hint="default"/>
      </w:rPr>
    </w:lvl>
    <w:lvl w:ilvl="2" w:tplc="04070005">
      <w:start w:val="1"/>
      <w:numFmt w:val="bullet"/>
      <w:lvlText w:val=""/>
      <w:lvlJc w:val="left"/>
      <w:pPr>
        <w:ind w:left="1630" w:hanging="360"/>
      </w:pPr>
      <w:rPr>
        <w:rFonts w:ascii="Wingdings" w:hAnsi="Wingdings" w:hint="default"/>
      </w:rPr>
    </w:lvl>
    <w:lvl w:ilvl="3" w:tplc="04070001">
      <w:start w:val="1"/>
      <w:numFmt w:val="bullet"/>
      <w:lvlText w:val=""/>
      <w:lvlJc w:val="left"/>
      <w:pPr>
        <w:ind w:left="2350" w:hanging="360"/>
      </w:pPr>
      <w:rPr>
        <w:rFonts w:ascii="Symbol" w:hAnsi="Symbol" w:hint="default"/>
      </w:rPr>
    </w:lvl>
    <w:lvl w:ilvl="4" w:tplc="04070003">
      <w:start w:val="1"/>
      <w:numFmt w:val="bullet"/>
      <w:lvlText w:val="o"/>
      <w:lvlJc w:val="left"/>
      <w:pPr>
        <w:ind w:left="3070" w:hanging="360"/>
      </w:pPr>
      <w:rPr>
        <w:rFonts w:ascii="Courier New" w:hAnsi="Courier New" w:cs="Courier New" w:hint="default"/>
      </w:rPr>
    </w:lvl>
    <w:lvl w:ilvl="5" w:tplc="04070005">
      <w:start w:val="1"/>
      <w:numFmt w:val="bullet"/>
      <w:lvlText w:val=""/>
      <w:lvlJc w:val="left"/>
      <w:pPr>
        <w:ind w:left="3790" w:hanging="360"/>
      </w:pPr>
      <w:rPr>
        <w:rFonts w:ascii="Wingdings" w:hAnsi="Wingdings" w:hint="default"/>
      </w:rPr>
    </w:lvl>
    <w:lvl w:ilvl="6" w:tplc="04070001">
      <w:start w:val="1"/>
      <w:numFmt w:val="bullet"/>
      <w:lvlText w:val=""/>
      <w:lvlJc w:val="left"/>
      <w:pPr>
        <w:ind w:left="4510" w:hanging="360"/>
      </w:pPr>
      <w:rPr>
        <w:rFonts w:ascii="Symbol" w:hAnsi="Symbol" w:hint="default"/>
      </w:rPr>
    </w:lvl>
    <w:lvl w:ilvl="7" w:tplc="04070003">
      <w:start w:val="1"/>
      <w:numFmt w:val="bullet"/>
      <w:lvlText w:val="o"/>
      <w:lvlJc w:val="left"/>
      <w:pPr>
        <w:ind w:left="5230" w:hanging="360"/>
      </w:pPr>
      <w:rPr>
        <w:rFonts w:ascii="Courier New" w:hAnsi="Courier New" w:cs="Courier New" w:hint="default"/>
      </w:rPr>
    </w:lvl>
    <w:lvl w:ilvl="8" w:tplc="04070005">
      <w:start w:val="1"/>
      <w:numFmt w:val="bullet"/>
      <w:lvlText w:val=""/>
      <w:lvlJc w:val="left"/>
      <w:pPr>
        <w:ind w:left="5950" w:hanging="360"/>
      </w:pPr>
      <w:rPr>
        <w:rFonts w:ascii="Wingdings" w:hAnsi="Wingdings" w:hint="default"/>
      </w:rPr>
    </w:lvl>
  </w:abstractNum>
  <w:abstractNum w:abstractNumId="2" w15:restartNumberingAfterBreak="0">
    <w:nsid w:val="483E2A33"/>
    <w:multiLevelType w:val="hybridMultilevel"/>
    <w:tmpl w:val="19DEBB82"/>
    <w:lvl w:ilvl="0" w:tplc="CEB81C1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91B6B"/>
    <w:multiLevelType w:val="hybridMultilevel"/>
    <w:tmpl w:val="0930D33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5F"/>
    <w:rsid w:val="00025BB6"/>
    <w:rsid w:val="000364E1"/>
    <w:rsid w:val="000368D0"/>
    <w:rsid w:val="00037BC1"/>
    <w:rsid w:val="00042C78"/>
    <w:rsid w:val="00043C7B"/>
    <w:rsid w:val="00047A21"/>
    <w:rsid w:val="000517D0"/>
    <w:rsid w:val="0005745F"/>
    <w:rsid w:val="000C3FAA"/>
    <w:rsid w:val="000C74CF"/>
    <w:rsid w:val="000D3A79"/>
    <w:rsid w:val="000E119D"/>
    <w:rsid w:val="00102A73"/>
    <w:rsid w:val="001077C4"/>
    <w:rsid w:val="00113DC0"/>
    <w:rsid w:val="001436E5"/>
    <w:rsid w:val="00171849"/>
    <w:rsid w:val="001938C8"/>
    <w:rsid w:val="00194A45"/>
    <w:rsid w:val="001B0215"/>
    <w:rsid w:val="001B3D9F"/>
    <w:rsid w:val="001D1420"/>
    <w:rsid w:val="001D33E3"/>
    <w:rsid w:val="001D487F"/>
    <w:rsid w:val="001F100B"/>
    <w:rsid w:val="00203305"/>
    <w:rsid w:val="0021136C"/>
    <w:rsid w:val="00237780"/>
    <w:rsid w:val="00242733"/>
    <w:rsid w:val="00292C67"/>
    <w:rsid w:val="002B3C88"/>
    <w:rsid w:val="002B65CD"/>
    <w:rsid w:val="002C3D64"/>
    <w:rsid w:val="002E33CD"/>
    <w:rsid w:val="002F12B0"/>
    <w:rsid w:val="003015E2"/>
    <w:rsid w:val="00302160"/>
    <w:rsid w:val="00334070"/>
    <w:rsid w:val="003635F3"/>
    <w:rsid w:val="00365BE5"/>
    <w:rsid w:val="00376F4B"/>
    <w:rsid w:val="003927C4"/>
    <w:rsid w:val="003B5539"/>
    <w:rsid w:val="003E357E"/>
    <w:rsid w:val="003F25A2"/>
    <w:rsid w:val="003F4AC8"/>
    <w:rsid w:val="003F7840"/>
    <w:rsid w:val="00477244"/>
    <w:rsid w:val="004A4EE2"/>
    <w:rsid w:val="004B0475"/>
    <w:rsid w:val="004E6D9A"/>
    <w:rsid w:val="00502B90"/>
    <w:rsid w:val="00514366"/>
    <w:rsid w:val="00531C58"/>
    <w:rsid w:val="00541DDC"/>
    <w:rsid w:val="00587205"/>
    <w:rsid w:val="005D0CC6"/>
    <w:rsid w:val="005D3616"/>
    <w:rsid w:val="005E6DE2"/>
    <w:rsid w:val="005F1DAA"/>
    <w:rsid w:val="00606DF2"/>
    <w:rsid w:val="00637D5C"/>
    <w:rsid w:val="00637DDC"/>
    <w:rsid w:val="006510A8"/>
    <w:rsid w:val="00664722"/>
    <w:rsid w:val="00673E4B"/>
    <w:rsid w:val="006767B9"/>
    <w:rsid w:val="00690ADC"/>
    <w:rsid w:val="00696E70"/>
    <w:rsid w:val="006A0516"/>
    <w:rsid w:val="006B6CCF"/>
    <w:rsid w:val="006C2EFA"/>
    <w:rsid w:val="006C4179"/>
    <w:rsid w:val="006C7AEE"/>
    <w:rsid w:val="006D3963"/>
    <w:rsid w:val="006E6010"/>
    <w:rsid w:val="006F56AF"/>
    <w:rsid w:val="00710E19"/>
    <w:rsid w:val="007167B0"/>
    <w:rsid w:val="00716E30"/>
    <w:rsid w:val="00733E64"/>
    <w:rsid w:val="007412C5"/>
    <w:rsid w:val="007A55E1"/>
    <w:rsid w:val="007E61ED"/>
    <w:rsid w:val="007F0B44"/>
    <w:rsid w:val="00806BFB"/>
    <w:rsid w:val="008130EE"/>
    <w:rsid w:val="008210D8"/>
    <w:rsid w:val="00830C58"/>
    <w:rsid w:val="00830F7A"/>
    <w:rsid w:val="008367F9"/>
    <w:rsid w:val="00867EFA"/>
    <w:rsid w:val="00881F26"/>
    <w:rsid w:val="00885C84"/>
    <w:rsid w:val="008B47F9"/>
    <w:rsid w:val="008B4B0A"/>
    <w:rsid w:val="008B797C"/>
    <w:rsid w:val="008E009C"/>
    <w:rsid w:val="008E2E3D"/>
    <w:rsid w:val="008F04A4"/>
    <w:rsid w:val="0090003B"/>
    <w:rsid w:val="00925331"/>
    <w:rsid w:val="009363BF"/>
    <w:rsid w:val="009621FA"/>
    <w:rsid w:val="00980B09"/>
    <w:rsid w:val="00981373"/>
    <w:rsid w:val="00985C6B"/>
    <w:rsid w:val="009A572E"/>
    <w:rsid w:val="009C2926"/>
    <w:rsid w:val="009D2D4C"/>
    <w:rsid w:val="009D62F5"/>
    <w:rsid w:val="00A03B72"/>
    <w:rsid w:val="00A1308C"/>
    <w:rsid w:val="00A20EFC"/>
    <w:rsid w:val="00A429E6"/>
    <w:rsid w:val="00A61664"/>
    <w:rsid w:val="00A67323"/>
    <w:rsid w:val="00AB4966"/>
    <w:rsid w:val="00AC22D4"/>
    <w:rsid w:val="00AD2EF3"/>
    <w:rsid w:val="00AF1D94"/>
    <w:rsid w:val="00B130EB"/>
    <w:rsid w:val="00B17D0A"/>
    <w:rsid w:val="00B4331D"/>
    <w:rsid w:val="00B6073A"/>
    <w:rsid w:val="00BC6D8B"/>
    <w:rsid w:val="00C22AF4"/>
    <w:rsid w:val="00C22CF6"/>
    <w:rsid w:val="00C37616"/>
    <w:rsid w:val="00C4699D"/>
    <w:rsid w:val="00C5592A"/>
    <w:rsid w:val="00C57A90"/>
    <w:rsid w:val="00C77827"/>
    <w:rsid w:val="00C87E0F"/>
    <w:rsid w:val="00CB3F68"/>
    <w:rsid w:val="00CB5377"/>
    <w:rsid w:val="00CB739B"/>
    <w:rsid w:val="00CC434D"/>
    <w:rsid w:val="00D023D2"/>
    <w:rsid w:val="00D41D64"/>
    <w:rsid w:val="00D46B1A"/>
    <w:rsid w:val="00D55BA9"/>
    <w:rsid w:val="00D65064"/>
    <w:rsid w:val="00D83AFA"/>
    <w:rsid w:val="00DC3985"/>
    <w:rsid w:val="00DC4ED8"/>
    <w:rsid w:val="00E010E5"/>
    <w:rsid w:val="00E313C9"/>
    <w:rsid w:val="00E4608A"/>
    <w:rsid w:val="00E501FE"/>
    <w:rsid w:val="00E6087C"/>
    <w:rsid w:val="00E66B0A"/>
    <w:rsid w:val="00E96B17"/>
    <w:rsid w:val="00EA44E8"/>
    <w:rsid w:val="00EC4FB3"/>
    <w:rsid w:val="00F027E0"/>
    <w:rsid w:val="00F4111C"/>
    <w:rsid w:val="00F45730"/>
    <w:rsid w:val="00F47F4F"/>
    <w:rsid w:val="00F5591B"/>
    <w:rsid w:val="00F765FD"/>
    <w:rsid w:val="00FA20C6"/>
    <w:rsid w:val="00FC0215"/>
    <w:rsid w:val="00FC3E6C"/>
    <w:rsid w:val="00FD42C9"/>
    <w:rsid w:val="00FD454C"/>
    <w:rsid w:val="00FD5637"/>
    <w:rsid w:val="00FD5DE9"/>
    <w:rsid w:val="00FF672E"/>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C937D"/>
  <w15:docId w15:val="{2621967D-4AB7-433C-BBE2-0B6E47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EF3"/>
    <w:pPr>
      <w:spacing w:after="160" w:line="288" w:lineRule="auto"/>
    </w:pPr>
    <w:rPr>
      <w:rFonts w:ascii="Calibri Light" w:hAnsi="Calibri Light"/>
      <w:color w:val="262626"/>
      <w:sz w:val="22"/>
      <w:lang w:val="fr-LU"/>
    </w:rPr>
  </w:style>
  <w:style w:type="paragraph" w:styleId="Heading1">
    <w:name w:val="heading 1"/>
    <w:next w:val="Normal"/>
    <w:link w:val="Heading1Char"/>
    <w:uiPriority w:val="9"/>
    <w:qFormat/>
    <w:rsid w:val="00AD2EF3"/>
    <w:pPr>
      <w:spacing w:after="160" w:line="280" w:lineRule="atLeast"/>
      <w:outlineLvl w:val="0"/>
    </w:pPr>
    <w:rPr>
      <w:rFonts w:eastAsiaTheme="majorEastAsia" w:cstheme="majorBidi"/>
      <w:caps/>
      <w:color w:val="E40520"/>
      <w:sz w:val="46"/>
      <w:szCs w:val="46"/>
    </w:rPr>
  </w:style>
  <w:style w:type="paragraph" w:styleId="Heading2">
    <w:name w:val="heading 2"/>
    <w:next w:val="Normal"/>
    <w:link w:val="Heading2Char"/>
    <w:uiPriority w:val="9"/>
    <w:unhideWhenUsed/>
    <w:qFormat/>
    <w:rsid w:val="00AD2EF3"/>
    <w:pPr>
      <w:spacing w:before="240" w:after="160" w:line="288" w:lineRule="auto"/>
      <w:outlineLvl w:val="1"/>
    </w:pPr>
    <w:rPr>
      <w:rFonts w:eastAsia="Calibri"/>
      <w:b/>
      <w:caps/>
      <w:color w:val="E40520"/>
      <w:sz w:val="32"/>
      <w:szCs w:val="28"/>
      <w:lang w:val="fr-FR"/>
    </w:rPr>
  </w:style>
  <w:style w:type="paragraph" w:styleId="Heading3">
    <w:name w:val="heading 3"/>
    <w:basedOn w:val="Heading2"/>
    <w:next w:val="Normal"/>
    <w:link w:val="Heading3Char"/>
    <w:uiPriority w:val="9"/>
    <w:unhideWhenUsed/>
    <w:qFormat/>
    <w:rsid w:val="00AD2EF3"/>
    <w:pPr>
      <w:outlineLvl w:val="2"/>
    </w:pPr>
    <w:rPr>
      <w:rFonts w:ascii="Calibri Light" w:hAnsi="Calibri Light" w:cstheme="majorBidi"/>
      <w:color w:val="5A5A59"/>
      <w:sz w:val="24"/>
    </w:rPr>
  </w:style>
  <w:style w:type="paragraph" w:styleId="Heading4">
    <w:name w:val="heading 4"/>
    <w:basedOn w:val="Normal"/>
    <w:next w:val="Normal"/>
    <w:link w:val="Heading4Char"/>
    <w:uiPriority w:val="9"/>
    <w:unhideWhenUsed/>
    <w:qFormat/>
    <w:rsid w:val="00AD2EF3"/>
    <w:pPr>
      <w:spacing w:before="360"/>
      <w:outlineLvl w:val="3"/>
    </w:pPr>
    <w:rPr>
      <w:b/>
      <w:i/>
      <w:color w:val="5A5A59"/>
      <w:sz w:val="24"/>
      <w:szCs w:val="22"/>
      <w:lang w:val="en-US"/>
    </w:rPr>
  </w:style>
  <w:style w:type="paragraph" w:styleId="Heading5">
    <w:name w:val="heading 5"/>
    <w:basedOn w:val="Normal"/>
    <w:next w:val="Normal"/>
    <w:link w:val="Heading5Char"/>
    <w:uiPriority w:val="9"/>
    <w:unhideWhenUsed/>
    <w:qFormat/>
    <w:rsid w:val="00AD2EF3"/>
    <w:pPr>
      <w:spacing w:line="240" w:lineRule="auto"/>
      <w:outlineLvl w:val="4"/>
    </w:pPr>
    <w:rPr>
      <w:caps/>
      <w:color w:val="E40520"/>
      <w:szCs w:val="22"/>
      <w:lang w:val="en-US"/>
    </w:rPr>
  </w:style>
  <w:style w:type="paragraph" w:styleId="Heading6">
    <w:name w:val="heading 6"/>
    <w:basedOn w:val="Normal"/>
    <w:next w:val="Normal"/>
    <w:link w:val="Heading6Char"/>
    <w:uiPriority w:val="9"/>
    <w:unhideWhenUsed/>
    <w:qFormat/>
    <w:rsid w:val="00AD2EF3"/>
    <w:pPr>
      <w:spacing w:before="200" w:after="100"/>
      <w:ind w:left="720"/>
      <w:contextualSpacing/>
      <w:outlineLvl w:val="5"/>
    </w:pPr>
    <w:rPr>
      <w:rFonts w:eastAsiaTheme="majorEastAsia" w:cstheme="majorBidi"/>
      <w:caps/>
      <w:color w:val="E40520"/>
      <w:szCs w:val="22"/>
      <w:lang w:val="en-US"/>
    </w:rPr>
  </w:style>
  <w:style w:type="paragraph" w:styleId="Heading7">
    <w:name w:val="heading 7"/>
    <w:basedOn w:val="Heading8"/>
    <w:next w:val="Normal"/>
    <w:link w:val="Heading7Char"/>
    <w:qFormat/>
    <w:rsid w:val="00AD2EF3"/>
    <w:pPr>
      <w:outlineLvl w:val="6"/>
    </w:pPr>
    <w:rPr>
      <w:rFonts w:ascii="Calibri Light" w:eastAsia="Times New Roman" w:hAnsi="Calibri Light" w:cs="Times New Roman"/>
      <w:b w:val="0"/>
      <w:color w:val="E40520"/>
      <w:sz w:val="20"/>
    </w:rPr>
  </w:style>
  <w:style w:type="paragraph" w:styleId="Heading8">
    <w:name w:val="heading 8"/>
    <w:basedOn w:val="Normal"/>
    <w:next w:val="Normal"/>
    <w:link w:val="Heading8Char"/>
    <w:uiPriority w:val="9"/>
    <w:semiHidden/>
    <w:unhideWhenUsed/>
    <w:rsid w:val="00DC4ED8"/>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lang w:val="en-US"/>
    </w:rPr>
  </w:style>
  <w:style w:type="paragraph" w:styleId="Heading9">
    <w:name w:val="heading 9"/>
    <w:basedOn w:val="Normal"/>
    <w:next w:val="Normal"/>
    <w:link w:val="Heading9Char"/>
    <w:uiPriority w:val="9"/>
    <w:semiHidden/>
    <w:unhideWhenUsed/>
    <w:rsid w:val="00DC4ED8"/>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EF3"/>
    <w:rPr>
      <w:rFonts w:eastAsiaTheme="majorEastAsia" w:cstheme="majorBidi"/>
      <w:caps/>
      <w:color w:val="E40520"/>
      <w:sz w:val="46"/>
      <w:szCs w:val="46"/>
    </w:rPr>
  </w:style>
  <w:style w:type="character" w:customStyle="1" w:styleId="Heading2Char">
    <w:name w:val="Heading 2 Char"/>
    <w:link w:val="Heading2"/>
    <w:uiPriority w:val="9"/>
    <w:rsid w:val="00AD2EF3"/>
    <w:rPr>
      <w:rFonts w:eastAsia="Calibri"/>
      <w:b/>
      <w:caps/>
      <w:color w:val="E40520"/>
      <w:sz w:val="32"/>
      <w:szCs w:val="28"/>
      <w:lang w:val="fr-FR"/>
    </w:rPr>
  </w:style>
  <w:style w:type="paragraph" w:customStyle="1" w:styleId="Axis-Fonts">
    <w:name w:val="Axis-Fonts"/>
    <w:basedOn w:val="Normal"/>
    <w:link w:val="Axis-FontsChar"/>
    <w:qFormat/>
    <w:rsid w:val="00AD2EF3"/>
    <w:rPr>
      <w:sz w:val="20"/>
    </w:rPr>
  </w:style>
  <w:style w:type="character" w:customStyle="1" w:styleId="Axis-FontsChar">
    <w:name w:val="Axis-Fonts Char"/>
    <w:link w:val="Axis-Fonts"/>
    <w:rsid w:val="00AD2EF3"/>
    <w:rPr>
      <w:rFonts w:ascii="Calibri Light" w:hAnsi="Calibri Light"/>
      <w:color w:val="262626"/>
      <w:lang w:val="fr-LU"/>
    </w:rPr>
  </w:style>
  <w:style w:type="paragraph" w:customStyle="1" w:styleId="Table-Heading">
    <w:name w:val="Table-Heading"/>
    <w:basedOn w:val="IntenseQuote"/>
    <w:link w:val="Table-HeadingChar"/>
    <w:qFormat/>
    <w:rsid w:val="00AD2EF3"/>
    <w:pPr>
      <w:shd w:val="clear" w:color="auto" w:fill="auto"/>
    </w:pPr>
    <w:rPr>
      <w:rFonts w:eastAsia="Times New Roman" w:cs="Times New Roman"/>
      <w:b/>
      <w:bCs/>
      <w:color w:val="FFFFFF" w:themeColor="background1"/>
      <w:lang w:val="fr-FR"/>
    </w:rPr>
  </w:style>
  <w:style w:type="character" w:customStyle="1" w:styleId="Table-HeadingChar">
    <w:name w:val="Table-Heading Char"/>
    <w:link w:val="Table-Heading"/>
    <w:rsid w:val="00AD2EF3"/>
    <w:rPr>
      <w:rFonts w:ascii="Calibri Light" w:hAnsi="Calibri Light"/>
      <w:b/>
      <w:bCs/>
      <w:color w:val="FFFFFF" w:themeColor="background1"/>
      <w:sz w:val="22"/>
      <w:lang w:val="fr-FR"/>
    </w:rPr>
  </w:style>
  <w:style w:type="character" w:customStyle="1" w:styleId="Heading3Char">
    <w:name w:val="Heading 3 Char"/>
    <w:link w:val="Heading3"/>
    <w:uiPriority w:val="9"/>
    <w:rsid w:val="00AD2EF3"/>
    <w:rPr>
      <w:rFonts w:ascii="Calibri Light" w:eastAsia="Calibri" w:hAnsi="Calibri Light" w:cstheme="majorBidi"/>
      <w:b/>
      <w:caps/>
      <w:color w:val="5A5A59"/>
      <w:sz w:val="24"/>
      <w:szCs w:val="28"/>
      <w:lang w:val="fr-FR"/>
    </w:rPr>
  </w:style>
  <w:style w:type="character" w:customStyle="1" w:styleId="Heading4Char">
    <w:name w:val="Heading 4 Char"/>
    <w:link w:val="Heading4"/>
    <w:uiPriority w:val="9"/>
    <w:rsid w:val="00AD2EF3"/>
    <w:rPr>
      <w:rFonts w:ascii="Calibri Light" w:hAnsi="Calibri Light"/>
      <w:b/>
      <w:i/>
      <w:color w:val="5A5A59"/>
      <w:sz w:val="24"/>
      <w:szCs w:val="22"/>
    </w:rPr>
  </w:style>
  <w:style w:type="character" w:customStyle="1" w:styleId="Heading5Char">
    <w:name w:val="Heading 5 Char"/>
    <w:link w:val="Heading5"/>
    <w:uiPriority w:val="9"/>
    <w:rsid w:val="00AD2EF3"/>
    <w:rPr>
      <w:rFonts w:ascii="Calibri Light" w:hAnsi="Calibri Light"/>
      <w:caps/>
      <w:color w:val="E40520"/>
      <w:sz w:val="22"/>
      <w:szCs w:val="22"/>
    </w:rPr>
  </w:style>
  <w:style w:type="character" w:customStyle="1" w:styleId="Heading6Char">
    <w:name w:val="Heading 6 Char"/>
    <w:link w:val="Heading6"/>
    <w:uiPriority w:val="9"/>
    <w:rsid w:val="00AD2EF3"/>
    <w:rPr>
      <w:rFonts w:ascii="Calibri Light" w:eastAsiaTheme="majorEastAsia" w:hAnsi="Calibri Light" w:cstheme="majorBidi"/>
      <w:caps/>
      <w:color w:val="E40520"/>
      <w:sz w:val="22"/>
      <w:szCs w:val="22"/>
    </w:rPr>
  </w:style>
  <w:style w:type="character" w:customStyle="1" w:styleId="Heading8Char">
    <w:name w:val="Heading 8 Char"/>
    <w:basedOn w:val="DefaultParagraphFont"/>
    <w:link w:val="Heading8"/>
    <w:uiPriority w:val="9"/>
    <w:semiHidden/>
    <w:rsid w:val="00DC4ED8"/>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DC4ED8"/>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D2EF3"/>
    <w:pPr>
      <w:spacing w:before="240"/>
    </w:pPr>
    <w:rPr>
      <w:bCs/>
      <w:smallCaps/>
      <w:color w:val="5A5A59"/>
      <w:spacing w:val="10"/>
      <w:sz w:val="18"/>
      <w:szCs w:val="18"/>
    </w:rPr>
  </w:style>
  <w:style w:type="paragraph" w:styleId="Title">
    <w:name w:val="Title"/>
    <w:basedOn w:val="Normal"/>
    <w:next w:val="Normal"/>
    <w:link w:val="TitleChar"/>
    <w:uiPriority w:val="10"/>
    <w:qFormat/>
    <w:rsid w:val="00AD2EF3"/>
    <w:pPr>
      <w:spacing w:before="480"/>
    </w:pPr>
    <w:rPr>
      <w:rFonts w:eastAsiaTheme="majorEastAsia" w:cstheme="majorBidi"/>
      <w:caps/>
      <w:color w:val="E40520"/>
      <w:sz w:val="72"/>
      <w:szCs w:val="72"/>
      <w:lang w:val="en-US"/>
    </w:rPr>
  </w:style>
  <w:style w:type="character" w:customStyle="1" w:styleId="TitleChar">
    <w:name w:val="Title Char"/>
    <w:link w:val="Title"/>
    <w:uiPriority w:val="10"/>
    <w:rsid w:val="00AD2EF3"/>
    <w:rPr>
      <w:rFonts w:ascii="Calibri Light" w:eastAsiaTheme="majorEastAsia" w:hAnsi="Calibri Light" w:cstheme="majorBidi"/>
      <w:caps/>
      <w:color w:val="E40520"/>
      <w:sz w:val="72"/>
      <w:szCs w:val="72"/>
    </w:rPr>
  </w:style>
  <w:style w:type="paragraph" w:styleId="Subtitle">
    <w:name w:val="Subtitle"/>
    <w:next w:val="Normal"/>
    <w:link w:val="SubtitleChar"/>
    <w:uiPriority w:val="11"/>
    <w:qFormat/>
    <w:rsid w:val="00AD2EF3"/>
    <w:pPr>
      <w:spacing w:after="160" w:line="288" w:lineRule="auto"/>
    </w:pPr>
    <w:rPr>
      <w:b/>
      <w:caps/>
      <w:color w:val="424B5B"/>
      <w:sz w:val="32"/>
      <w:szCs w:val="32"/>
    </w:rPr>
  </w:style>
  <w:style w:type="character" w:customStyle="1" w:styleId="SubtitleChar">
    <w:name w:val="Subtitle Char"/>
    <w:link w:val="Subtitle"/>
    <w:uiPriority w:val="11"/>
    <w:rsid w:val="00AD2EF3"/>
    <w:rPr>
      <w:b/>
      <w:caps/>
      <w:color w:val="424B5B"/>
      <w:sz w:val="32"/>
      <w:szCs w:val="32"/>
    </w:rPr>
  </w:style>
  <w:style w:type="paragraph" w:styleId="IntenseQuote">
    <w:name w:val="Intense Quote"/>
    <w:basedOn w:val="Normal"/>
    <w:next w:val="Normal"/>
    <w:link w:val="IntenseQuoteChar"/>
    <w:uiPriority w:val="30"/>
    <w:qFormat/>
    <w:rsid w:val="00AD2EF3"/>
    <w:pPr>
      <w:shd w:val="clear" w:color="auto" w:fill="E1DFDF"/>
    </w:pPr>
    <w:rPr>
      <w:rFonts w:eastAsiaTheme="majorEastAsia" w:cstheme="majorBidi"/>
    </w:rPr>
  </w:style>
  <w:style w:type="character" w:customStyle="1" w:styleId="IntenseQuoteChar">
    <w:name w:val="Intense Quote Char"/>
    <w:link w:val="IntenseQuote"/>
    <w:uiPriority w:val="30"/>
    <w:rsid w:val="00AD2EF3"/>
    <w:rPr>
      <w:rFonts w:ascii="Calibri Light" w:eastAsiaTheme="majorEastAsia" w:hAnsi="Calibri Light" w:cstheme="majorBidi"/>
      <w:color w:val="262626"/>
      <w:sz w:val="22"/>
      <w:shd w:val="clear" w:color="auto" w:fill="E1DFDF"/>
      <w:lang w:val="fr-LU"/>
    </w:rPr>
  </w:style>
  <w:style w:type="paragraph" w:styleId="TOCHeading">
    <w:name w:val="TOC Heading"/>
    <w:basedOn w:val="Heading1"/>
    <w:next w:val="Normal"/>
    <w:uiPriority w:val="39"/>
    <w:semiHidden/>
    <w:unhideWhenUsed/>
    <w:qFormat/>
    <w:rsid w:val="00AD2EF3"/>
    <w:pPr>
      <w:outlineLvl w:val="9"/>
    </w:pPr>
    <w:rPr>
      <w:lang w:bidi="en-US"/>
    </w:rPr>
  </w:style>
  <w:style w:type="table" w:customStyle="1" w:styleId="AEV">
    <w:name w:val="AEV"/>
    <w:basedOn w:val="TableNormal"/>
    <w:uiPriority w:val="99"/>
    <w:rsid w:val="00690ADC"/>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Pr>
    <w:tblStylePr w:type="firstRow">
      <w:rPr>
        <w:rFonts w:asciiTheme="minorHAnsi" w:hAnsiTheme="minorHAnsi"/>
        <w:color w:val="FFFFFF" w:themeColor="background1"/>
      </w:rPr>
      <w:tblPr/>
      <w:tcPr>
        <w:shd w:val="clear" w:color="auto" w:fill="595959" w:themeFill="text1" w:themeFillTint="A6"/>
      </w:tcPr>
    </w:tblStylePr>
  </w:style>
  <w:style w:type="paragraph" w:customStyle="1" w:styleId="Title2">
    <w:name w:val="Title 2"/>
    <w:basedOn w:val="Title"/>
    <w:link w:val="Title2Char"/>
    <w:qFormat/>
    <w:rsid w:val="00AD2EF3"/>
    <w:rPr>
      <w:rFonts w:eastAsia="Calibri"/>
      <w:sz w:val="52"/>
    </w:rPr>
  </w:style>
  <w:style w:type="character" w:customStyle="1" w:styleId="Title2Char">
    <w:name w:val="Title 2 Char"/>
    <w:link w:val="Title2"/>
    <w:rsid w:val="00AD2EF3"/>
    <w:rPr>
      <w:rFonts w:ascii="Calibri Light" w:eastAsia="Calibri" w:hAnsi="Calibri Light" w:cstheme="majorBidi"/>
      <w:caps/>
      <w:color w:val="E40520"/>
      <w:sz w:val="52"/>
      <w:szCs w:val="72"/>
    </w:rPr>
  </w:style>
  <w:style w:type="paragraph" w:customStyle="1" w:styleId="BulletPoint">
    <w:name w:val="BulletPoint"/>
    <w:basedOn w:val="Normal"/>
    <w:link w:val="BulletPointChar"/>
    <w:qFormat/>
    <w:rsid w:val="00AD2EF3"/>
    <w:pPr>
      <w:ind w:left="720" w:hanging="360"/>
    </w:pPr>
    <w:rPr>
      <w:lang w:val="fr-FR"/>
    </w:rPr>
  </w:style>
  <w:style w:type="character" w:customStyle="1" w:styleId="BulletPointChar">
    <w:name w:val="BulletPoint Char"/>
    <w:basedOn w:val="DefaultParagraphFont"/>
    <w:link w:val="BulletPoint"/>
    <w:rsid w:val="00AD2EF3"/>
    <w:rPr>
      <w:rFonts w:ascii="Calibri Light" w:hAnsi="Calibri Light"/>
      <w:color w:val="262626"/>
      <w:sz w:val="22"/>
      <w:lang w:val="fr-FR"/>
    </w:rPr>
  </w:style>
  <w:style w:type="paragraph" w:customStyle="1" w:styleId="numbering">
    <w:name w:val="numbering"/>
    <w:basedOn w:val="BulletPoint"/>
    <w:link w:val="numberingChar"/>
    <w:qFormat/>
    <w:rsid w:val="00AD2EF3"/>
  </w:style>
  <w:style w:type="character" w:customStyle="1" w:styleId="numberingChar">
    <w:name w:val="numbering Char"/>
    <w:basedOn w:val="DefaultParagraphFont"/>
    <w:link w:val="numbering"/>
    <w:rsid w:val="00AD2EF3"/>
    <w:rPr>
      <w:rFonts w:ascii="Calibri Light" w:hAnsi="Calibri Light"/>
      <w:color w:val="262626"/>
      <w:sz w:val="22"/>
      <w:lang w:val="fr-FR"/>
    </w:rPr>
  </w:style>
  <w:style w:type="paragraph" w:customStyle="1" w:styleId="Titre3">
    <w:name w:val="Titre 3"/>
    <w:basedOn w:val="Heading1"/>
    <w:link w:val="Titre3Char"/>
    <w:qFormat/>
    <w:rsid w:val="00AD2EF3"/>
    <w:rPr>
      <w:rFonts w:ascii="Calibri Light" w:eastAsia="Calibri" w:hAnsi="Calibri Light"/>
      <w:sz w:val="48"/>
    </w:rPr>
  </w:style>
  <w:style w:type="character" w:customStyle="1" w:styleId="Titre3Char">
    <w:name w:val="Titre 3 Char"/>
    <w:basedOn w:val="Title2Char"/>
    <w:link w:val="Titre3"/>
    <w:rsid w:val="00AD2EF3"/>
    <w:rPr>
      <w:rFonts w:ascii="Calibri Light" w:eastAsia="Calibri" w:hAnsi="Calibri Light" w:cstheme="majorBidi"/>
      <w:caps/>
      <w:color w:val="E40520"/>
      <w:sz w:val="48"/>
      <w:szCs w:val="46"/>
    </w:rPr>
  </w:style>
  <w:style w:type="character" w:customStyle="1" w:styleId="Heading7Char">
    <w:name w:val="Heading 7 Char"/>
    <w:link w:val="Heading7"/>
    <w:rsid w:val="00AD2EF3"/>
    <w:rPr>
      <w:rFonts w:ascii="Calibri Light" w:hAnsi="Calibri Light"/>
      <w:smallCaps/>
      <w:color w:val="E40520"/>
      <w:spacing w:val="20"/>
      <w:szCs w:val="16"/>
    </w:rPr>
  </w:style>
  <w:style w:type="paragraph" w:styleId="NormalWeb">
    <w:name w:val="Normal (Web)"/>
    <w:basedOn w:val="Normal"/>
    <w:uiPriority w:val="99"/>
    <w:semiHidden/>
    <w:unhideWhenUsed/>
    <w:rsid w:val="006510A8"/>
    <w:pPr>
      <w:spacing w:before="100" w:beforeAutospacing="1" w:after="100" w:afterAutospacing="1" w:line="240" w:lineRule="auto"/>
    </w:pPr>
    <w:rPr>
      <w:rFonts w:ascii="Times New Roman" w:hAnsi="Times New Roman"/>
      <w:color w:val="auto"/>
      <w:sz w:val="24"/>
      <w:szCs w:val="24"/>
      <w:lang w:val="lb-LU" w:eastAsia="lb-LU"/>
    </w:rPr>
  </w:style>
  <w:style w:type="paragraph" w:styleId="ListParagraph">
    <w:name w:val="List Paragraph"/>
    <w:basedOn w:val="Normal"/>
    <w:uiPriority w:val="34"/>
    <w:qFormat/>
    <w:rsid w:val="006510A8"/>
    <w:pPr>
      <w:ind w:left="720"/>
      <w:contextualSpacing/>
    </w:pPr>
  </w:style>
  <w:style w:type="paragraph" w:styleId="BalloonText">
    <w:name w:val="Balloon Text"/>
    <w:basedOn w:val="Normal"/>
    <w:link w:val="BalloonTextChar"/>
    <w:uiPriority w:val="99"/>
    <w:semiHidden/>
    <w:unhideWhenUsed/>
    <w:rsid w:val="008B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F9"/>
    <w:rPr>
      <w:rFonts w:ascii="Tahoma" w:hAnsi="Tahoma" w:cs="Tahoma"/>
      <w:color w:val="262626"/>
      <w:sz w:val="16"/>
      <w:szCs w:val="16"/>
      <w:lang w:val="fr-LU"/>
    </w:rPr>
  </w:style>
  <w:style w:type="table" w:styleId="LightShading-Accent6">
    <w:name w:val="Light Shading Accent 6"/>
    <w:basedOn w:val="TableNormal"/>
    <w:uiPriority w:val="60"/>
    <w:rsid w:val="0017184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Header">
    <w:name w:val="header"/>
    <w:basedOn w:val="Normal"/>
    <w:link w:val="HeaderChar"/>
    <w:uiPriority w:val="99"/>
    <w:unhideWhenUsed/>
    <w:rsid w:val="0017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49"/>
    <w:rPr>
      <w:rFonts w:ascii="Calibri Light" w:hAnsi="Calibri Light"/>
      <w:color w:val="262626"/>
      <w:sz w:val="22"/>
      <w:lang w:val="fr-LU"/>
    </w:rPr>
  </w:style>
  <w:style w:type="paragraph" w:styleId="Footer">
    <w:name w:val="footer"/>
    <w:basedOn w:val="Normal"/>
    <w:link w:val="FooterChar"/>
    <w:uiPriority w:val="99"/>
    <w:unhideWhenUsed/>
    <w:rsid w:val="0017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49"/>
    <w:rPr>
      <w:rFonts w:ascii="Calibri Light" w:hAnsi="Calibri Light"/>
      <w:color w:val="262626"/>
      <w:sz w:val="22"/>
      <w:lang w:val="fr-LU"/>
    </w:rPr>
  </w:style>
  <w:style w:type="table" w:styleId="LightShading-Accent3">
    <w:name w:val="Light Shading Accent 3"/>
    <w:basedOn w:val="TableNormal"/>
    <w:uiPriority w:val="60"/>
    <w:rsid w:val="0023778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AC22D4"/>
    <w:rPr>
      <w:color w:val="0563C1" w:themeColor="hyperlink"/>
      <w:u w:val="single"/>
    </w:rPr>
  </w:style>
  <w:style w:type="character" w:styleId="CommentReference">
    <w:name w:val="annotation reference"/>
    <w:basedOn w:val="DefaultParagraphFont"/>
    <w:uiPriority w:val="99"/>
    <w:semiHidden/>
    <w:unhideWhenUsed/>
    <w:rsid w:val="00830F7A"/>
    <w:rPr>
      <w:sz w:val="16"/>
      <w:szCs w:val="16"/>
    </w:rPr>
  </w:style>
  <w:style w:type="paragraph" w:styleId="CommentText">
    <w:name w:val="annotation text"/>
    <w:basedOn w:val="Normal"/>
    <w:link w:val="CommentTextChar"/>
    <w:uiPriority w:val="99"/>
    <w:semiHidden/>
    <w:unhideWhenUsed/>
    <w:rsid w:val="00830F7A"/>
    <w:pPr>
      <w:spacing w:line="240" w:lineRule="auto"/>
    </w:pPr>
    <w:rPr>
      <w:sz w:val="20"/>
    </w:rPr>
  </w:style>
  <w:style w:type="character" w:customStyle="1" w:styleId="CommentTextChar">
    <w:name w:val="Comment Text Char"/>
    <w:basedOn w:val="DefaultParagraphFont"/>
    <w:link w:val="CommentText"/>
    <w:uiPriority w:val="99"/>
    <w:semiHidden/>
    <w:rsid w:val="00830F7A"/>
    <w:rPr>
      <w:rFonts w:ascii="Calibri Light" w:hAnsi="Calibri Light"/>
      <w:color w:val="262626"/>
      <w:lang w:val="fr-LU"/>
    </w:rPr>
  </w:style>
  <w:style w:type="paragraph" w:styleId="CommentSubject">
    <w:name w:val="annotation subject"/>
    <w:basedOn w:val="CommentText"/>
    <w:next w:val="CommentText"/>
    <w:link w:val="CommentSubjectChar"/>
    <w:uiPriority w:val="99"/>
    <w:semiHidden/>
    <w:unhideWhenUsed/>
    <w:rsid w:val="00830F7A"/>
    <w:rPr>
      <w:b/>
      <w:bCs/>
    </w:rPr>
  </w:style>
  <w:style w:type="character" w:customStyle="1" w:styleId="CommentSubjectChar">
    <w:name w:val="Comment Subject Char"/>
    <w:basedOn w:val="CommentTextChar"/>
    <w:link w:val="CommentSubject"/>
    <w:uiPriority w:val="99"/>
    <w:semiHidden/>
    <w:rsid w:val="00830F7A"/>
    <w:rPr>
      <w:rFonts w:ascii="Calibri Light" w:hAnsi="Calibri Light"/>
      <w:b/>
      <w:bCs/>
      <w:color w:val="262626"/>
      <w:lang w:val="fr-LU"/>
    </w:rPr>
  </w:style>
  <w:style w:type="paragraph" w:styleId="FootnoteText">
    <w:name w:val="footnote text"/>
    <w:basedOn w:val="Normal"/>
    <w:link w:val="FootnoteTextChar"/>
    <w:uiPriority w:val="99"/>
    <w:semiHidden/>
    <w:unhideWhenUsed/>
    <w:rsid w:val="000D3A79"/>
    <w:pPr>
      <w:spacing w:after="0" w:line="240" w:lineRule="auto"/>
    </w:pPr>
    <w:rPr>
      <w:sz w:val="20"/>
    </w:rPr>
  </w:style>
  <w:style w:type="character" w:customStyle="1" w:styleId="FootnoteTextChar">
    <w:name w:val="Footnote Text Char"/>
    <w:basedOn w:val="DefaultParagraphFont"/>
    <w:link w:val="FootnoteText"/>
    <w:uiPriority w:val="99"/>
    <w:semiHidden/>
    <w:rsid w:val="000D3A79"/>
    <w:rPr>
      <w:rFonts w:ascii="Calibri Light" w:hAnsi="Calibri Light"/>
      <w:color w:val="262626"/>
      <w:lang w:val="fr-LU"/>
    </w:rPr>
  </w:style>
  <w:style w:type="character" w:styleId="FootnoteReference">
    <w:name w:val="footnote reference"/>
    <w:basedOn w:val="DefaultParagraphFont"/>
    <w:uiPriority w:val="99"/>
    <w:semiHidden/>
    <w:unhideWhenUsed/>
    <w:rsid w:val="000D3A79"/>
    <w:rPr>
      <w:vertAlign w:val="superscript"/>
    </w:rPr>
  </w:style>
  <w:style w:type="paragraph" w:customStyle="1" w:styleId="Default">
    <w:name w:val="Default"/>
    <w:rsid w:val="00541DDC"/>
    <w:pPr>
      <w:autoSpaceDE w:val="0"/>
      <w:autoSpaceDN w:val="0"/>
      <w:adjustRightInd w:val="0"/>
    </w:pPr>
    <w:rPr>
      <w:rFonts w:ascii="Sofia Pro Soft Light" w:hAnsi="Sofia Pro Soft Light" w:cs="Sofia Pro Soft Light"/>
      <w:color w:val="000000"/>
      <w:sz w:val="24"/>
      <w:szCs w:val="24"/>
    </w:rPr>
  </w:style>
  <w:style w:type="character" w:customStyle="1" w:styleId="A0">
    <w:name w:val="A0"/>
    <w:uiPriority w:val="99"/>
    <w:rsid w:val="00541DDC"/>
    <w:rPr>
      <w:rFonts w:cs="Sofia Pro Soft Light"/>
      <w:color w:val="000000"/>
      <w:sz w:val="19"/>
      <w:szCs w:val="19"/>
    </w:rPr>
  </w:style>
  <w:style w:type="paragraph" w:styleId="Revision">
    <w:name w:val="Revision"/>
    <w:hidden/>
    <w:uiPriority w:val="99"/>
    <w:semiHidden/>
    <w:rsid w:val="001077C4"/>
    <w:rPr>
      <w:rFonts w:ascii="Calibri Light" w:hAnsi="Calibri Light"/>
      <w:color w:val="262626"/>
      <w:sz w:val="22"/>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379">
      <w:bodyDiv w:val="1"/>
      <w:marLeft w:val="0"/>
      <w:marRight w:val="0"/>
      <w:marTop w:val="0"/>
      <w:marBottom w:val="0"/>
      <w:divBdr>
        <w:top w:val="none" w:sz="0" w:space="0" w:color="auto"/>
        <w:left w:val="none" w:sz="0" w:space="0" w:color="auto"/>
        <w:bottom w:val="none" w:sz="0" w:space="0" w:color="auto"/>
        <w:right w:val="none" w:sz="0" w:space="0" w:color="auto"/>
      </w:divBdr>
    </w:div>
    <w:div w:id="366568810">
      <w:bodyDiv w:val="1"/>
      <w:marLeft w:val="0"/>
      <w:marRight w:val="0"/>
      <w:marTop w:val="0"/>
      <w:marBottom w:val="0"/>
      <w:divBdr>
        <w:top w:val="none" w:sz="0" w:space="0" w:color="auto"/>
        <w:left w:val="none" w:sz="0" w:space="0" w:color="auto"/>
        <w:bottom w:val="none" w:sz="0" w:space="0" w:color="auto"/>
        <w:right w:val="none" w:sz="0" w:space="0" w:color="auto"/>
      </w:divBdr>
    </w:div>
    <w:div w:id="478618968">
      <w:bodyDiv w:val="1"/>
      <w:marLeft w:val="0"/>
      <w:marRight w:val="0"/>
      <w:marTop w:val="0"/>
      <w:marBottom w:val="0"/>
      <w:divBdr>
        <w:top w:val="none" w:sz="0" w:space="0" w:color="auto"/>
        <w:left w:val="none" w:sz="0" w:space="0" w:color="auto"/>
        <w:bottom w:val="none" w:sz="0" w:space="0" w:color="auto"/>
        <w:right w:val="none" w:sz="0" w:space="0" w:color="auto"/>
      </w:divBdr>
    </w:div>
    <w:div w:id="682821306">
      <w:bodyDiv w:val="1"/>
      <w:marLeft w:val="0"/>
      <w:marRight w:val="0"/>
      <w:marTop w:val="0"/>
      <w:marBottom w:val="0"/>
      <w:divBdr>
        <w:top w:val="none" w:sz="0" w:space="0" w:color="auto"/>
        <w:left w:val="none" w:sz="0" w:space="0" w:color="auto"/>
        <w:bottom w:val="none" w:sz="0" w:space="0" w:color="auto"/>
        <w:right w:val="none" w:sz="0" w:space="0" w:color="auto"/>
      </w:divBdr>
    </w:div>
    <w:div w:id="733233690">
      <w:bodyDiv w:val="1"/>
      <w:marLeft w:val="0"/>
      <w:marRight w:val="0"/>
      <w:marTop w:val="0"/>
      <w:marBottom w:val="0"/>
      <w:divBdr>
        <w:top w:val="none" w:sz="0" w:space="0" w:color="auto"/>
        <w:left w:val="none" w:sz="0" w:space="0" w:color="auto"/>
        <w:bottom w:val="none" w:sz="0" w:space="0" w:color="auto"/>
        <w:right w:val="none" w:sz="0" w:space="0" w:color="auto"/>
      </w:divBdr>
    </w:div>
    <w:div w:id="1997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77FF-52BF-4EAE-9C69-9D044A08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Dengler</dc:creator>
  <cp:keywords/>
  <cp:lastModifiedBy>Sophie Thinnes</cp:lastModifiedBy>
  <cp:revision>5</cp:revision>
  <dcterms:created xsi:type="dcterms:W3CDTF">2022-12-20T13:51:00Z</dcterms:created>
  <dcterms:modified xsi:type="dcterms:W3CDTF">2022-12-20T15:22:00Z</dcterms:modified>
</cp:coreProperties>
</file>